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1070F6">
      <w:pPr>
        <w:jc w:val="center"/>
        <w:rPr>
          <w:lang w:val="sr-Latn-CS"/>
        </w:rPr>
      </w:pPr>
      <w:r w:rsidRPr="001070F6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Default="00F43BA6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Default="004C1D1B">
      <w:pPr>
        <w:jc w:val="center"/>
        <w:rPr>
          <w:lang w:val="sr-Cyrl-CS"/>
        </w:rPr>
      </w:pPr>
    </w:p>
    <w:p w:rsidR="00BC4672" w:rsidRPr="00BC4672" w:rsidRDefault="00BC4672">
      <w:pPr>
        <w:jc w:val="center"/>
        <w:rPr>
          <w:lang w:val="sr-Cyrl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5257EB" w:rsidRPr="006B3D6E">
        <w:rPr>
          <w:rFonts w:cs="Arial"/>
          <w:sz w:val="24"/>
          <w:szCs w:val="24"/>
          <w:lang w:val="sr-Cyrl-CS"/>
        </w:rPr>
        <w:t>КВАНТИТАТИВНЕ МЕТОДЕ ЗА ЗДРАВСТВЕНЕ ОРГАНИЗАЦИЈЕ</w:t>
      </w:r>
      <w:r w:rsidR="005257EB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5257EB" w:rsidRDefault="002D3376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C86011">
        <w:rPr>
          <w:sz w:val="24"/>
          <w:szCs w:val="24"/>
        </w:rPr>
        <w:t>10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bookmarkStart w:id="0" w:name="OLE_LINK1"/>
      <w:r w:rsidR="00AF0E79" w:rsidRPr="00AF0E79">
        <w:rPr>
          <w:b/>
          <w:sz w:val="28"/>
          <w:szCs w:val="28"/>
          <w:lang w:val="sr-Latn-CS"/>
        </w:rPr>
        <w:t>АНАЛИЗА УНАКРСНОГ ТАБЕЛИРАЊА</w:t>
      </w:r>
      <w:r w:rsidR="005B6F3D">
        <w:rPr>
          <w:b/>
          <w:sz w:val="28"/>
          <w:szCs w:val="28"/>
          <w:lang w:val="sr-Latn-CS"/>
        </w:rPr>
        <w:t xml:space="preserve"> </w:t>
      </w:r>
      <w:bookmarkEnd w:id="0"/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D32F7E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D32F7E" w:rsidRPr="00501FDC" w:rsidRDefault="00D32F7E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C86011" w:rsidRPr="00D7079D" w:rsidTr="00F45B23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11" w:rsidRPr="005257EB" w:rsidRDefault="00C86011" w:rsidP="006D693E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11" w:rsidRPr="00E53D2C" w:rsidRDefault="00C86011" w:rsidP="00740D7C">
            <w:pPr>
              <w:jc w:val="left"/>
              <w:rPr>
                <w:rFonts w:cs="Arial"/>
                <w:lang w:val="sr-Cyrl-CS"/>
              </w:rPr>
            </w:pPr>
            <w:r w:rsidRPr="00C86011">
              <w:rPr>
                <w:rFonts w:cs="Arial"/>
                <w:lang w:val="sr-Cyrl-CS"/>
              </w:rPr>
              <w:t>Анализа унакрсног табелирања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011" w:rsidRPr="000913E1" w:rsidRDefault="00C86011" w:rsidP="00CD0972">
            <w:pPr>
              <w:autoSpaceDE w:val="0"/>
              <w:autoSpaceDN w:val="0"/>
              <w:adjustRightInd w:val="0"/>
              <w:rPr>
                <w:lang w:val="sr-Latn-CS"/>
              </w:rPr>
            </w:pPr>
            <w:r w:rsidRPr="00314E27">
              <w:rPr>
                <w:szCs w:val="22"/>
              </w:rPr>
              <w:t>Хи-квадрат тест за повезаност. Тестови за 2 са 2 табеле.  Хи-квадрат тест за мале узорке. Fisher-ов екзактни тест. Yates-ova корекција континуитета за 2 са 2 табелу. Валидност Fisher-ових и Yates-ових метода. Шанса и количник шансе.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011" w:rsidRPr="00CC20A0" w:rsidRDefault="00C86011" w:rsidP="00C86011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 xml:space="preserve">Упознавање </w:t>
            </w:r>
            <w:r>
              <w:rPr>
                <w:rFonts w:cs="Arial"/>
              </w:rPr>
              <w:t xml:space="preserve">са </w:t>
            </w:r>
            <w:r>
              <w:rPr>
                <w:rFonts w:cs="Arial"/>
                <w:lang w:val="sr-Cyrl-CS"/>
              </w:rPr>
              <w:t>м</w:t>
            </w:r>
            <w:r w:rsidRPr="00575E78">
              <w:rPr>
                <w:rFonts w:cs="Arial"/>
                <w:lang w:val="sr-Latn-CS"/>
              </w:rPr>
              <w:t>етод</w:t>
            </w:r>
            <w:r>
              <w:rPr>
                <w:rFonts w:cs="Arial"/>
                <w:lang w:val="sr-Cyrl-CS"/>
              </w:rPr>
              <w:t>ама</w:t>
            </w:r>
            <w:r w:rsidRPr="00575E78">
              <w:rPr>
                <w:rFonts w:cs="Arial"/>
                <w:lang w:val="sr-Latn-CS"/>
              </w:rPr>
              <w:t xml:space="preserve"> </w:t>
            </w:r>
            <w:r w:rsidRPr="00C86011">
              <w:rPr>
                <w:rFonts w:cs="Arial"/>
                <w:lang w:val="sr-Cyrl-CS"/>
              </w:rPr>
              <w:t>унакрсног табелирања</w:t>
            </w:r>
            <w:r>
              <w:rPr>
                <w:rFonts w:cs="Arial"/>
                <w:lang w:val="sr-Cyrl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9343DE" w:rsidRDefault="009343DE">
      <w:pPr>
        <w:jc w:val="center"/>
        <w:rPr>
          <w:b/>
          <w:sz w:val="24"/>
          <w:szCs w:val="24"/>
          <w:lang w:val="sr-Latn-CS"/>
        </w:rPr>
      </w:pPr>
    </w:p>
    <w:p w:rsidR="005257EB" w:rsidRDefault="005257EB">
      <w:pPr>
        <w:jc w:val="center"/>
        <w:rPr>
          <w:b/>
          <w:sz w:val="24"/>
          <w:szCs w:val="24"/>
          <w:lang w:val="sr-Cyrl-CS"/>
        </w:rPr>
      </w:pPr>
    </w:p>
    <w:p w:rsidR="00352E2F" w:rsidRDefault="00352E2F">
      <w:pPr>
        <w:jc w:val="center"/>
        <w:rPr>
          <w:b/>
          <w:sz w:val="24"/>
          <w:szCs w:val="24"/>
          <w:lang w:val="sr-Cyrl-CS"/>
        </w:rPr>
      </w:pPr>
    </w:p>
    <w:p w:rsidR="006E2157" w:rsidRPr="006E2157" w:rsidRDefault="006E2157">
      <w:pPr>
        <w:jc w:val="center"/>
        <w:rPr>
          <w:b/>
          <w:sz w:val="24"/>
          <w:szCs w:val="24"/>
          <w:lang w:val="sr-Cyrl-CS"/>
        </w:rPr>
      </w:pPr>
    </w:p>
    <w:p w:rsidR="004159EA" w:rsidRPr="00A06B01" w:rsidRDefault="004159EA" w:rsidP="004159EA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 w:rsidR="005257EB">
        <w:rPr>
          <w:sz w:val="16"/>
          <w:szCs w:val="16"/>
          <w:lang w:val="sr-Cyrl-CS" w:eastAsia="ar-SA"/>
        </w:rPr>
        <w:t>8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80795A" w:rsidRPr="000647CD" w:rsidRDefault="004159EA" w:rsidP="004159EA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 w:rsidR="005257EB">
        <w:rPr>
          <w:sz w:val="16"/>
          <w:szCs w:val="16"/>
          <w:lang w:eastAsia="ar-SA"/>
        </w:rPr>
        <w:t>8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80795A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3729AC" w:rsidRDefault="003729AC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756A21" w:rsidRDefault="001070F6">
      <w:pPr>
        <w:pStyle w:val="TOC1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529202164" w:history="1">
        <w:r w:rsidR="00756A21" w:rsidRPr="003F68E3">
          <w:rPr>
            <w:rStyle w:val="Hyperlink"/>
            <w:noProof/>
            <w:lang w:val="sr-Cyrl-CS"/>
          </w:rPr>
          <w:t>Анализа унакрсног табелирања</w:t>
        </w:r>
        <w:r w:rsidR="00756A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6A21">
          <w:rPr>
            <w:noProof/>
            <w:webHidden/>
          </w:rPr>
          <w:instrText xml:space="preserve"> PAGEREF _Toc529202164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56A2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56A21" w:rsidRDefault="001070F6">
      <w:pPr>
        <w:pStyle w:val="TOC2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165" w:history="1">
        <w:r w:rsidR="00756A21" w:rsidRPr="003F68E3">
          <w:rPr>
            <w:rStyle w:val="Hyperlink"/>
            <w:noProof/>
            <w:lang w:val="sr-Latn-CS" w:eastAsia="sr-Latn-CS"/>
          </w:rPr>
          <w:t>1</w:t>
        </w:r>
        <w:r w:rsidR="00756A21" w:rsidRPr="003F68E3">
          <w:rPr>
            <w:rStyle w:val="Hyperlink"/>
            <w:noProof/>
            <w:lang w:val="sr-Cyrl-CS" w:eastAsia="sr-Latn-CS"/>
          </w:rPr>
          <w:t>0</w:t>
        </w:r>
        <w:r w:rsidR="00756A21" w:rsidRPr="003F68E3">
          <w:rPr>
            <w:rStyle w:val="Hyperlink"/>
            <w:noProof/>
            <w:lang w:val="sr-Latn-CS" w:eastAsia="sr-Latn-CS"/>
          </w:rPr>
          <w:t xml:space="preserve"> </w:t>
        </w:r>
        <w:r w:rsidR="00756A21" w:rsidRPr="003F68E3">
          <w:rPr>
            <w:rStyle w:val="Hyperlink"/>
            <w:noProof/>
            <w:lang w:eastAsia="sr-Latn-CS"/>
          </w:rPr>
          <w:t>Анализа</w:t>
        </w:r>
        <w:r w:rsidR="00756A21" w:rsidRPr="003F68E3">
          <w:rPr>
            <w:rStyle w:val="Hyperlink"/>
            <w:noProof/>
            <w:lang w:val="sr-Latn-CS" w:eastAsia="sr-Latn-CS"/>
          </w:rPr>
          <w:t xml:space="preserve"> </w:t>
        </w:r>
        <w:r w:rsidR="00756A21" w:rsidRPr="003F68E3">
          <w:rPr>
            <w:rStyle w:val="Hyperlink"/>
            <w:noProof/>
            <w:lang w:eastAsia="sr-Latn-CS"/>
          </w:rPr>
          <w:t>унакрсног</w:t>
        </w:r>
        <w:r w:rsidR="00756A21" w:rsidRPr="003F68E3">
          <w:rPr>
            <w:rStyle w:val="Hyperlink"/>
            <w:noProof/>
            <w:lang w:val="sr-Latn-CS" w:eastAsia="sr-Latn-CS"/>
          </w:rPr>
          <w:t>-</w:t>
        </w:r>
        <w:r w:rsidR="00756A21" w:rsidRPr="003F68E3">
          <w:rPr>
            <w:rStyle w:val="Hyperlink"/>
            <w:noProof/>
            <w:lang w:eastAsia="sr-Latn-CS"/>
          </w:rPr>
          <w:t>табели</w:t>
        </w:r>
        <w:r w:rsidR="00756A21" w:rsidRPr="003F68E3">
          <w:rPr>
            <w:rStyle w:val="Hyperlink"/>
            <w:noProof/>
            <w:lang w:val="sr-Cyrl-CS" w:eastAsia="sr-Latn-CS"/>
          </w:rPr>
          <w:t>рања</w:t>
        </w:r>
        <w:r w:rsidR="00756A21" w:rsidRPr="003F68E3">
          <w:rPr>
            <w:rStyle w:val="Hyperlink"/>
            <w:noProof/>
            <w:lang w:val="sr-Latn-CS" w:eastAsia="sr-Latn-CS"/>
          </w:rPr>
          <w:t xml:space="preserve"> </w:t>
        </w:r>
        <w:r w:rsidR="00756A21" w:rsidRPr="003F68E3">
          <w:rPr>
            <w:rStyle w:val="Hyperlink"/>
            <w:noProof/>
            <w:lang w:val="sr-Cyrl-CS" w:eastAsia="sr-Latn-CS"/>
          </w:rPr>
          <w:t>(</w:t>
        </w:r>
        <w:r w:rsidR="00756A21" w:rsidRPr="003F68E3">
          <w:rPr>
            <w:rStyle w:val="Hyperlink"/>
            <w:noProof/>
            <w:lang w:val="sr-Latn-CS" w:eastAsia="sr-Latn-CS"/>
          </w:rPr>
          <w:t>Analysis of cross-tabulations</w:t>
        </w:r>
        <w:r w:rsidR="00756A21" w:rsidRPr="003F68E3">
          <w:rPr>
            <w:rStyle w:val="Hyperlink"/>
            <w:noProof/>
            <w:lang w:val="sr-Cyrl-CS" w:eastAsia="sr-Latn-CS"/>
          </w:rPr>
          <w:t>)</w:t>
        </w:r>
        <w:r w:rsidR="00756A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6A21">
          <w:rPr>
            <w:noProof/>
            <w:webHidden/>
          </w:rPr>
          <w:instrText xml:space="preserve"> PAGEREF _Toc529202165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56A2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56A21" w:rsidRDefault="001070F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166" w:history="1">
        <w:r w:rsidR="00756A21" w:rsidRPr="003F68E3">
          <w:rPr>
            <w:rStyle w:val="Hyperlink"/>
            <w:noProof/>
            <w:lang w:val="sr-Cyrl-CS" w:eastAsia="sr-Latn-CS"/>
          </w:rPr>
          <w:t>10.1 Хи-квадрат (</w:t>
        </w:r>
        <w:r w:rsidR="00756A21" w:rsidRPr="003F68E3">
          <w:rPr>
            <w:rStyle w:val="Hyperlink"/>
            <w:noProof/>
            <w:lang w:eastAsia="sr-Latn-CS"/>
          </w:rPr>
          <w:t>Chi</w:t>
        </w:r>
        <w:r w:rsidR="00756A21" w:rsidRPr="003F68E3">
          <w:rPr>
            <w:rStyle w:val="Hyperlink"/>
            <w:noProof/>
            <w:lang w:val="sr-Cyrl-CS" w:eastAsia="sr-Latn-CS"/>
          </w:rPr>
          <w:t>-</w:t>
        </w:r>
        <w:r w:rsidR="00756A21" w:rsidRPr="003F68E3">
          <w:rPr>
            <w:rStyle w:val="Hyperlink"/>
            <w:noProof/>
            <w:lang w:eastAsia="sr-Latn-CS"/>
          </w:rPr>
          <w:t>squared</w:t>
        </w:r>
        <w:r w:rsidR="00756A21" w:rsidRPr="003F68E3">
          <w:rPr>
            <w:rStyle w:val="Hyperlink"/>
            <w:noProof/>
            <w:lang w:val="sr-Cyrl-CS" w:eastAsia="sr-Latn-CS"/>
          </w:rPr>
          <w:t>) тест за повезаност</w:t>
        </w:r>
        <w:r w:rsidR="00756A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6A21">
          <w:rPr>
            <w:noProof/>
            <w:webHidden/>
          </w:rPr>
          <w:instrText xml:space="preserve"> PAGEREF _Toc529202166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56A21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56A21" w:rsidRDefault="001070F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167" w:history="1">
        <w:r w:rsidR="00756A21" w:rsidRPr="003F68E3">
          <w:rPr>
            <w:rStyle w:val="Hyperlink"/>
            <w:noProof/>
            <w:lang w:val="sr-Latn-CS" w:eastAsia="sr-Latn-CS"/>
          </w:rPr>
          <w:t xml:space="preserve">10.2 </w:t>
        </w:r>
        <w:r w:rsidR="00756A21" w:rsidRPr="003F68E3">
          <w:rPr>
            <w:rStyle w:val="Hyperlink"/>
            <w:noProof/>
            <w:lang w:eastAsia="sr-Latn-CS"/>
          </w:rPr>
          <w:t>Тестови</w:t>
        </w:r>
        <w:r w:rsidR="00756A21" w:rsidRPr="003F68E3">
          <w:rPr>
            <w:rStyle w:val="Hyperlink"/>
            <w:noProof/>
            <w:lang w:val="sr-Latn-CS" w:eastAsia="sr-Latn-CS"/>
          </w:rPr>
          <w:t xml:space="preserve"> </w:t>
        </w:r>
        <w:r w:rsidR="00756A21" w:rsidRPr="003F68E3">
          <w:rPr>
            <w:rStyle w:val="Hyperlink"/>
            <w:noProof/>
            <w:lang w:eastAsia="sr-Latn-CS"/>
          </w:rPr>
          <w:t>за</w:t>
        </w:r>
        <w:r w:rsidR="00756A21" w:rsidRPr="003F68E3">
          <w:rPr>
            <w:rStyle w:val="Hyperlink"/>
            <w:noProof/>
            <w:lang w:val="sr-Latn-CS" w:eastAsia="sr-Latn-CS"/>
          </w:rPr>
          <w:t xml:space="preserve"> 2 </w:t>
        </w:r>
        <w:r w:rsidR="00756A21" w:rsidRPr="003F68E3">
          <w:rPr>
            <w:rStyle w:val="Hyperlink"/>
            <w:noProof/>
            <w:lang w:val="sr-Cyrl-CS" w:eastAsia="sr-Latn-CS"/>
          </w:rPr>
          <w:t>пута</w:t>
        </w:r>
        <w:r w:rsidR="00756A21" w:rsidRPr="003F68E3">
          <w:rPr>
            <w:rStyle w:val="Hyperlink"/>
            <w:noProof/>
            <w:lang w:val="sr-Latn-CS" w:eastAsia="sr-Latn-CS"/>
          </w:rPr>
          <w:t xml:space="preserve"> 2 </w:t>
        </w:r>
        <w:r w:rsidR="00756A21" w:rsidRPr="003F68E3">
          <w:rPr>
            <w:rStyle w:val="Hyperlink"/>
            <w:noProof/>
            <w:lang w:eastAsia="sr-Latn-CS"/>
          </w:rPr>
          <w:t>табеле</w:t>
        </w:r>
        <w:r w:rsidR="00756A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6A21">
          <w:rPr>
            <w:noProof/>
            <w:webHidden/>
          </w:rPr>
          <w:instrText xml:space="preserve"> PAGEREF _Toc529202167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56A21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56A21" w:rsidRDefault="001070F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168" w:history="1">
        <w:r w:rsidR="00756A21" w:rsidRPr="003F68E3">
          <w:rPr>
            <w:rStyle w:val="Hyperlink"/>
            <w:noProof/>
            <w:lang w:val="it-IT" w:eastAsia="sr-Latn-CS"/>
          </w:rPr>
          <w:t xml:space="preserve">10.3 </w:t>
        </w:r>
        <w:r w:rsidR="00756A21" w:rsidRPr="003F68E3">
          <w:rPr>
            <w:rStyle w:val="Hyperlink"/>
            <w:noProof/>
            <w:lang w:val="sr-Latn-CS" w:eastAsia="sr-Latn-CS"/>
          </w:rPr>
          <w:t xml:space="preserve">Хи-квадрат </w:t>
        </w:r>
        <w:r w:rsidR="00756A21" w:rsidRPr="003F68E3">
          <w:rPr>
            <w:rStyle w:val="Hyperlink"/>
            <w:noProof/>
            <w:lang w:val="it-IT" w:eastAsia="sr-Latn-CS"/>
          </w:rPr>
          <w:t xml:space="preserve"> </w:t>
        </w:r>
        <w:r w:rsidR="00756A21" w:rsidRPr="003F68E3">
          <w:rPr>
            <w:rStyle w:val="Hyperlink"/>
            <w:noProof/>
            <w:lang w:eastAsia="sr-Latn-CS"/>
          </w:rPr>
          <w:t>тест</w:t>
        </w:r>
        <w:r w:rsidR="00756A21" w:rsidRPr="003F68E3">
          <w:rPr>
            <w:rStyle w:val="Hyperlink"/>
            <w:noProof/>
            <w:lang w:val="it-IT" w:eastAsia="sr-Latn-CS"/>
          </w:rPr>
          <w:t xml:space="preserve"> </w:t>
        </w:r>
        <w:r w:rsidR="00756A21" w:rsidRPr="003F68E3">
          <w:rPr>
            <w:rStyle w:val="Hyperlink"/>
            <w:noProof/>
            <w:lang w:eastAsia="sr-Latn-CS"/>
          </w:rPr>
          <w:t>за</w:t>
        </w:r>
        <w:r w:rsidR="00756A21" w:rsidRPr="003F68E3">
          <w:rPr>
            <w:rStyle w:val="Hyperlink"/>
            <w:noProof/>
            <w:lang w:val="it-IT" w:eastAsia="sr-Latn-CS"/>
          </w:rPr>
          <w:t xml:space="preserve"> </w:t>
        </w:r>
        <w:r w:rsidR="00756A21" w:rsidRPr="003F68E3">
          <w:rPr>
            <w:rStyle w:val="Hyperlink"/>
            <w:noProof/>
            <w:lang w:eastAsia="sr-Latn-CS"/>
          </w:rPr>
          <w:t>мале</w:t>
        </w:r>
        <w:r w:rsidR="00756A21" w:rsidRPr="003F68E3">
          <w:rPr>
            <w:rStyle w:val="Hyperlink"/>
            <w:noProof/>
            <w:lang w:val="it-IT" w:eastAsia="sr-Latn-CS"/>
          </w:rPr>
          <w:t xml:space="preserve"> </w:t>
        </w:r>
        <w:r w:rsidR="00756A21" w:rsidRPr="003F68E3">
          <w:rPr>
            <w:rStyle w:val="Hyperlink"/>
            <w:noProof/>
            <w:lang w:eastAsia="sr-Latn-CS"/>
          </w:rPr>
          <w:t>узорке</w:t>
        </w:r>
        <w:r w:rsidR="00756A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6A21">
          <w:rPr>
            <w:noProof/>
            <w:webHidden/>
          </w:rPr>
          <w:instrText xml:space="preserve"> PAGEREF _Toc529202168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56A21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56A21" w:rsidRDefault="001070F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169" w:history="1">
        <w:r w:rsidR="00756A21" w:rsidRPr="003F68E3">
          <w:rPr>
            <w:rStyle w:val="Hyperlink"/>
            <w:noProof/>
            <w:lang w:val="sr-Cyrl-CS" w:eastAsia="sr-Latn-CS"/>
          </w:rPr>
          <w:t xml:space="preserve">10.4 </w:t>
        </w:r>
        <w:r w:rsidR="00756A21" w:rsidRPr="003F68E3">
          <w:rPr>
            <w:rStyle w:val="Hyperlink"/>
            <w:noProof/>
            <w:lang w:eastAsia="sr-Latn-CS"/>
          </w:rPr>
          <w:t>Fisher</w:t>
        </w:r>
        <w:r w:rsidR="00756A21" w:rsidRPr="003F68E3">
          <w:rPr>
            <w:rStyle w:val="Hyperlink"/>
            <w:noProof/>
            <w:lang w:val="sr-Cyrl-CS" w:eastAsia="sr-Latn-CS"/>
          </w:rPr>
          <w:t>-ов тест тачне вероватноће</w:t>
        </w:r>
        <w:r w:rsidR="00756A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6A21">
          <w:rPr>
            <w:noProof/>
            <w:webHidden/>
          </w:rPr>
          <w:instrText xml:space="preserve"> PAGEREF _Toc529202169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56A21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56A21" w:rsidRDefault="001070F6">
      <w:pPr>
        <w:pStyle w:val="TOC3"/>
        <w:tabs>
          <w:tab w:val="right" w:leader="dot" w:pos="9061"/>
        </w:tabs>
        <w:rPr>
          <w:rFonts w:asciiTheme="minorHAnsi" w:eastAsiaTheme="minorEastAsia" w:hAnsiTheme="minorHAnsi" w:cstheme="minorBidi"/>
          <w:noProof/>
          <w:color w:val="auto"/>
          <w:sz w:val="22"/>
          <w:szCs w:val="22"/>
          <w:lang w:val="en-US"/>
        </w:rPr>
      </w:pPr>
      <w:hyperlink w:anchor="_Toc529202170" w:history="1">
        <w:r w:rsidR="00756A21" w:rsidRPr="003F68E3">
          <w:rPr>
            <w:rStyle w:val="Hyperlink"/>
            <w:noProof/>
            <w:lang w:val="sr-Cyrl-CS" w:eastAsia="sr-Latn-CS"/>
          </w:rPr>
          <w:t xml:space="preserve">10.5 </w:t>
        </w:r>
        <w:r w:rsidR="00756A21" w:rsidRPr="003F68E3">
          <w:rPr>
            <w:rStyle w:val="Hyperlink"/>
            <w:noProof/>
            <w:lang w:eastAsia="sr-Latn-CS"/>
          </w:rPr>
          <w:t>Yates</w:t>
        </w:r>
        <w:r w:rsidR="00756A21" w:rsidRPr="003F68E3">
          <w:rPr>
            <w:rStyle w:val="Hyperlink"/>
            <w:noProof/>
            <w:lang w:val="sr-Cyrl-CS" w:eastAsia="sr-Latn-CS"/>
          </w:rPr>
          <w:t>-</w:t>
        </w:r>
        <w:r w:rsidR="00756A21" w:rsidRPr="003F68E3">
          <w:rPr>
            <w:rStyle w:val="Hyperlink"/>
            <w:noProof/>
            <w:lang w:eastAsia="sr-Latn-CS"/>
          </w:rPr>
          <w:t>ova</w:t>
        </w:r>
        <w:r w:rsidR="00756A21" w:rsidRPr="003F68E3">
          <w:rPr>
            <w:rStyle w:val="Hyperlink"/>
            <w:noProof/>
            <w:lang w:val="sr-Cyrl-CS" w:eastAsia="sr-Latn-CS"/>
          </w:rPr>
          <w:t xml:space="preserve"> корекција континуитета за 2 пута 2 табелу</w:t>
        </w:r>
        <w:r w:rsidR="00756A21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56A21">
          <w:rPr>
            <w:noProof/>
            <w:webHidden/>
          </w:rPr>
          <w:instrText xml:space="preserve"> PAGEREF _Toc529202170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56A21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A245D8" w:rsidRDefault="001070F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B90341" w:rsidRDefault="00B90341" w:rsidP="001653E0">
      <w:pPr>
        <w:jc w:val="center"/>
        <w:rPr>
          <w:b/>
          <w:sz w:val="24"/>
          <w:szCs w:val="24"/>
          <w:lang w:val="sr-Latn-CS"/>
        </w:rPr>
      </w:pPr>
    </w:p>
    <w:p w:rsidR="003729AC" w:rsidRDefault="003729AC" w:rsidP="001653E0">
      <w:pPr>
        <w:jc w:val="center"/>
        <w:rPr>
          <w:b/>
          <w:sz w:val="24"/>
          <w:szCs w:val="24"/>
        </w:rPr>
      </w:pPr>
    </w:p>
    <w:p w:rsidR="00D762D2" w:rsidRDefault="00D762D2" w:rsidP="001653E0">
      <w:pPr>
        <w:jc w:val="center"/>
        <w:rPr>
          <w:b/>
          <w:sz w:val="24"/>
          <w:szCs w:val="24"/>
        </w:rPr>
      </w:pPr>
    </w:p>
    <w:p w:rsidR="00D762D2" w:rsidRDefault="00D762D2" w:rsidP="001653E0">
      <w:pPr>
        <w:jc w:val="center"/>
        <w:rPr>
          <w:b/>
          <w:sz w:val="24"/>
          <w:szCs w:val="24"/>
        </w:rPr>
      </w:pPr>
    </w:p>
    <w:p w:rsidR="00D762D2" w:rsidRPr="00D762D2" w:rsidRDefault="00D762D2" w:rsidP="001653E0">
      <w:pPr>
        <w:jc w:val="center"/>
        <w:rPr>
          <w:b/>
          <w:sz w:val="24"/>
          <w:szCs w:val="24"/>
        </w:rPr>
      </w:pPr>
    </w:p>
    <w:p w:rsidR="00AF0E79" w:rsidRDefault="00AF0E79" w:rsidP="001653E0">
      <w:pPr>
        <w:jc w:val="center"/>
        <w:rPr>
          <w:sz w:val="24"/>
          <w:szCs w:val="24"/>
          <w:lang/>
        </w:rPr>
      </w:pPr>
    </w:p>
    <w:p w:rsidR="00AF0E79" w:rsidRDefault="00AF0E79" w:rsidP="001653E0">
      <w:pPr>
        <w:jc w:val="center"/>
        <w:rPr>
          <w:sz w:val="24"/>
          <w:szCs w:val="24"/>
          <w:lang/>
        </w:rPr>
      </w:pPr>
    </w:p>
    <w:p w:rsidR="00AF0E79" w:rsidRDefault="00AF0E79" w:rsidP="001653E0">
      <w:pPr>
        <w:jc w:val="center"/>
        <w:rPr>
          <w:sz w:val="24"/>
          <w:szCs w:val="24"/>
          <w:lang/>
        </w:rPr>
      </w:pPr>
    </w:p>
    <w:p w:rsidR="001653E0" w:rsidRPr="00352E2F" w:rsidRDefault="002D3376" w:rsidP="001653E0">
      <w:pPr>
        <w:jc w:val="center"/>
        <w:rPr>
          <w:sz w:val="24"/>
          <w:szCs w:val="24"/>
        </w:rPr>
      </w:pPr>
      <w:r>
        <w:rPr>
          <w:sz w:val="24"/>
          <w:szCs w:val="24"/>
          <w:lang w:val="sr-Latn-CS"/>
        </w:rPr>
        <w:t>П</w:t>
      </w:r>
      <w:r w:rsidR="001E006D">
        <w:rPr>
          <w:sz w:val="24"/>
          <w:szCs w:val="24"/>
          <w:lang w:val="sr-Cyrl-CS"/>
        </w:rPr>
        <w:t>р</w:t>
      </w:r>
      <w:r>
        <w:rPr>
          <w:sz w:val="24"/>
          <w:szCs w:val="24"/>
          <w:lang w:val="sr-Latn-CS"/>
        </w:rPr>
        <w:t>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352E2F">
        <w:rPr>
          <w:sz w:val="24"/>
          <w:szCs w:val="24"/>
        </w:rPr>
        <w:t>10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2D766E" w:rsidRPr="002D766E">
        <w:rPr>
          <w:b/>
          <w:lang w:val="sr-Cyrl-CS"/>
        </w:rPr>
        <w:t>АНАЛИЗА УНАКРСНОГ ТАБЕЛИРАЊА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ED2E6B" w:rsidRPr="009E3AA0" w:rsidRDefault="00352E2F" w:rsidP="00ED2E6B">
      <w:pPr>
        <w:pStyle w:val="Heading1"/>
        <w:rPr>
          <w:lang w:val="sr-Cyrl-CS"/>
        </w:rPr>
      </w:pPr>
      <w:bookmarkStart w:id="1" w:name="_Toc529202164"/>
      <w:r w:rsidRPr="00352E2F">
        <w:rPr>
          <w:lang w:val="sr-Cyrl-CS"/>
        </w:rPr>
        <w:t>Анализа унакрсног табелирања</w:t>
      </w:r>
      <w:bookmarkEnd w:id="1"/>
    </w:p>
    <w:p w:rsidR="00D8738C" w:rsidRPr="00971549" w:rsidRDefault="00D8738C" w:rsidP="00D8738C">
      <w:pPr>
        <w:pStyle w:val="Heading2"/>
        <w:rPr>
          <w:lang w:val="sr-Cyrl-CS" w:eastAsia="sr-Latn-CS"/>
        </w:rPr>
      </w:pPr>
      <w:bookmarkStart w:id="2" w:name="_Toc261679002"/>
      <w:bookmarkStart w:id="3" w:name="_Toc278621238"/>
      <w:bookmarkStart w:id="4" w:name="_Toc529202165"/>
      <w:r w:rsidRPr="00143720">
        <w:rPr>
          <w:lang w:val="sr-Latn-CS" w:eastAsia="sr-Latn-CS"/>
        </w:rPr>
        <w:t>1</w:t>
      </w:r>
      <w:r>
        <w:rPr>
          <w:lang w:val="sr-Cyrl-CS" w:eastAsia="sr-Latn-CS"/>
        </w:rPr>
        <w:t>0</w:t>
      </w:r>
      <w:r w:rsidRPr="00143720">
        <w:rPr>
          <w:lang w:val="sr-Latn-CS" w:eastAsia="sr-Latn-CS"/>
        </w:rPr>
        <w:t xml:space="preserve"> </w:t>
      </w:r>
      <w:r w:rsidRPr="00713C72">
        <w:rPr>
          <w:lang w:eastAsia="sr-Latn-CS"/>
        </w:rPr>
        <w:t>Анализа</w:t>
      </w:r>
      <w:r w:rsidRPr="00143720">
        <w:rPr>
          <w:lang w:val="sr-Latn-CS" w:eastAsia="sr-Latn-CS"/>
        </w:rPr>
        <w:t xml:space="preserve"> </w:t>
      </w:r>
      <w:r w:rsidRPr="00713C72">
        <w:rPr>
          <w:lang w:eastAsia="sr-Latn-CS"/>
        </w:rPr>
        <w:t>унакрсног</w:t>
      </w:r>
      <w:r w:rsidRPr="00143720">
        <w:rPr>
          <w:lang w:val="sr-Latn-CS" w:eastAsia="sr-Latn-CS"/>
        </w:rPr>
        <w:t>-</w:t>
      </w:r>
      <w:r w:rsidRPr="00713C72">
        <w:rPr>
          <w:lang w:eastAsia="sr-Latn-CS"/>
        </w:rPr>
        <w:t>табели</w:t>
      </w:r>
      <w:r>
        <w:rPr>
          <w:lang w:val="sr-Cyrl-CS" w:eastAsia="sr-Latn-CS"/>
        </w:rPr>
        <w:t>рања</w:t>
      </w:r>
      <w:r w:rsidRPr="00143720">
        <w:rPr>
          <w:lang w:val="sr-Latn-CS" w:eastAsia="sr-Latn-CS"/>
        </w:rPr>
        <w:t xml:space="preserve"> </w:t>
      </w:r>
      <w:r>
        <w:rPr>
          <w:lang w:val="sr-Cyrl-CS" w:eastAsia="sr-Latn-CS"/>
        </w:rPr>
        <w:t>(</w:t>
      </w:r>
      <w:r>
        <w:rPr>
          <w:lang w:val="sr-Latn-CS" w:eastAsia="sr-Latn-CS"/>
        </w:rPr>
        <w:t>A</w:t>
      </w:r>
      <w:r w:rsidRPr="00143720">
        <w:rPr>
          <w:lang w:val="sr-Latn-CS" w:eastAsia="sr-Latn-CS"/>
        </w:rPr>
        <w:t>nalysis of cross-tabulations</w:t>
      </w:r>
      <w:bookmarkEnd w:id="2"/>
      <w:r>
        <w:rPr>
          <w:lang w:val="sr-Cyrl-CS" w:eastAsia="sr-Latn-CS"/>
        </w:rPr>
        <w:t>)</w:t>
      </w:r>
      <w:bookmarkEnd w:id="3"/>
      <w:bookmarkEnd w:id="4"/>
    </w:p>
    <w:p w:rsidR="00D8738C" w:rsidRPr="00143720" w:rsidRDefault="00D8738C" w:rsidP="00D8738C">
      <w:pPr>
        <w:pStyle w:val="Heading3"/>
        <w:rPr>
          <w:lang w:val="sr-Cyrl-CS" w:eastAsia="sr-Latn-CS"/>
        </w:rPr>
      </w:pPr>
      <w:bookmarkStart w:id="5" w:name="_Toc261679003"/>
      <w:bookmarkStart w:id="6" w:name="_Toc278621239"/>
      <w:bookmarkStart w:id="7" w:name="_Toc529202166"/>
      <w:r>
        <w:rPr>
          <w:lang w:val="sr-Cyrl-CS" w:eastAsia="sr-Latn-CS"/>
        </w:rPr>
        <w:t>10.</w:t>
      </w:r>
      <w:r w:rsidRPr="00143720">
        <w:rPr>
          <w:lang w:val="sr-Cyrl-CS" w:eastAsia="sr-Latn-CS"/>
        </w:rPr>
        <w:t xml:space="preserve">1 </w:t>
      </w:r>
      <w:r>
        <w:rPr>
          <w:lang w:val="sr-Cyrl-CS" w:eastAsia="sr-Latn-CS"/>
        </w:rPr>
        <w:t>Хи-квадрат (</w:t>
      </w:r>
      <w:r w:rsidRPr="000C6780">
        <w:rPr>
          <w:lang w:eastAsia="sr-Latn-CS"/>
        </w:rPr>
        <w:t>Chi</w:t>
      </w:r>
      <w:r w:rsidRPr="00143720">
        <w:rPr>
          <w:lang w:val="sr-Cyrl-CS" w:eastAsia="sr-Latn-CS"/>
        </w:rPr>
        <w:t>-</w:t>
      </w:r>
      <w:r w:rsidRPr="000C6780">
        <w:rPr>
          <w:lang w:eastAsia="sr-Latn-CS"/>
        </w:rPr>
        <w:t>squared</w:t>
      </w:r>
      <w:r>
        <w:rPr>
          <w:lang w:val="sr-Cyrl-CS" w:eastAsia="sr-Latn-CS"/>
        </w:rPr>
        <w:t>)</w:t>
      </w:r>
      <w:r w:rsidRPr="00143720">
        <w:rPr>
          <w:lang w:val="sr-Cyrl-CS" w:eastAsia="sr-Latn-CS"/>
        </w:rPr>
        <w:t xml:space="preserve"> </w:t>
      </w:r>
      <w:bookmarkEnd w:id="5"/>
      <w:r w:rsidRPr="00143720">
        <w:rPr>
          <w:lang w:val="sr-Cyrl-CS" w:eastAsia="sr-Latn-CS"/>
        </w:rPr>
        <w:t>тест за повезаност</w:t>
      </w:r>
      <w:bookmarkEnd w:id="6"/>
      <w:bookmarkEnd w:id="7"/>
    </w:p>
    <w:p w:rsidR="00D8738C" w:rsidRPr="0095267B" w:rsidRDefault="00D8738C" w:rsidP="00D8738C">
      <w:pPr>
        <w:spacing w:before="0" w:after="120"/>
        <w:rPr>
          <w:rFonts w:cs="Arial"/>
          <w:lang w:val="it-IT"/>
        </w:rPr>
      </w:pP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мајки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однос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врсте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становања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превремени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порођај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унакрсног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>
        <w:rPr>
          <w:rFonts w:cs="Arial"/>
          <w:lang w:val="sr-Cyrl-CS"/>
        </w:rPr>
        <w:t>рања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>
        <w:rPr>
          <w:rFonts w:cs="Arial"/>
          <w:lang w:val="sr-Cyrl-CS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назива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sr-Cyrl-CS"/>
        </w:rPr>
        <w:t>контигенције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contingency </w:t>
      </w:r>
      <w:r>
        <w:rPr>
          <w:rFonts w:cs="Arial"/>
          <w:b/>
          <w:bCs/>
          <w:color w:val="0A0905"/>
          <w:lang w:val="sr-Latn-CS" w:eastAsia="sr-Latn-CS"/>
        </w:rPr>
        <w:t>table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унакрсна</w:t>
      </w:r>
      <w:r w:rsidRPr="0095267B">
        <w:rPr>
          <w:rFonts w:cs="Arial"/>
          <w:lang w:val="it-IT"/>
        </w:rPr>
        <w:t>-</w:t>
      </w:r>
      <w:r>
        <w:rPr>
          <w:rFonts w:cs="Arial"/>
          <w:b/>
          <w:lang w:val="it-IT"/>
        </w:rPr>
        <w:t>класификација</w:t>
      </w:r>
      <w:r>
        <w:rPr>
          <w:rFonts w:cs="Arial"/>
          <w:lang w:val="it-IT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cross-classification</w:t>
      </w:r>
      <w:r>
        <w:rPr>
          <w:rFonts w:cs="Arial"/>
          <w:lang w:val="it-IT"/>
        </w:rPr>
        <w:t>)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Сваки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унос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појединаца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карактеристике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sr-Cyrl-CS"/>
        </w:rPr>
        <w:t>део 1</w:t>
      </w:r>
      <w:r w:rsidRPr="0095267B">
        <w:rPr>
          <w:rFonts w:cs="Arial"/>
          <w:lang w:val="it-IT"/>
        </w:rPr>
        <w:t xml:space="preserve">.1).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да буде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прилично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тешко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снага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квалитативне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однос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 xml:space="preserve">помоћу </w:t>
      </w:r>
      <w:r>
        <w:rPr>
          <w:rFonts w:cs="Arial"/>
          <w:i/>
          <w:lang w:val="it-IT"/>
        </w:rPr>
        <w:t xml:space="preserve">хи-квадрат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343"/>
      </w:tblGrid>
      <w:tr w:rsidR="00D8738C" w:rsidRPr="00846851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846851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846851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846851">
              <w:rPr>
                <w:rFonts w:cs="Arial"/>
                <w:bCs/>
                <w:color w:val="0A0905"/>
                <w:lang w:val="sr-Latn-CS" w:eastAsia="sr-Latn-CS"/>
              </w:rPr>
              <w:t xml:space="preserve">1 </w:t>
            </w:r>
            <w:r>
              <w:rPr>
                <w:rFonts w:cs="Arial"/>
                <w:lang w:val="it-IT"/>
              </w:rPr>
              <w:t>Табела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контигенције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која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приказује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време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порођаја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врсти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становања</w:t>
            </w:r>
          </w:p>
        </w:tc>
      </w:tr>
      <w:tr w:rsidR="00D8738C" w:rsidRPr="00846851">
        <w:trPr>
          <w:trHeight w:val="937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057"/>
              <w:gridCol w:w="1701"/>
              <w:gridCol w:w="1418"/>
              <w:gridCol w:w="1701"/>
            </w:tblGrid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Врста становања</w:t>
                  </w:r>
                </w:p>
              </w:tc>
              <w:tc>
                <w:tcPr>
                  <w:tcW w:w="17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Превремено</w:t>
                  </w:r>
                </w:p>
              </w:tc>
              <w:tc>
                <w:tcPr>
                  <w:tcW w:w="1418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 року</w:t>
                  </w:r>
                </w:p>
              </w:tc>
              <w:tc>
                <w:tcPr>
                  <w:tcW w:w="17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Власник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50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849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899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564C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Савет станара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229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258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Приватни закуп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175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Живе са родитељима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66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72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Друго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36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39</w:t>
                  </w:r>
                </w:p>
              </w:tc>
            </w:tr>
            <w:tr w:rsidR="00D8738C" w:rsidRPr="00846851">
              <w:trPr>
                <w:tblCellSpacing w:w="0" w:type="dxa"/>
              </w:trPr>
              <w:tc>
                <w:tcPr>
                  <w:tcW w:w="305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99</w:t>
                  </w:r>
                </w:p>
              </w:tc>
              <w:tc>
                <w:tcPr>
                  <w:tcW w:w="1418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1344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846851">
                    <w:rPr>
                      <w:rFonts w:cs="Arial"/>
                      <w:color w:val="0A0905"/>
                      <w:lang w:val="sr-Latn-CS" w:eastAsia="sr-Latn-CS"/>
                    </w:rPr>
                    <w:t>1443</w:t>
                  </w:r>
                </w:p>
              </w:tc>
            </w:tr>
          </w:tbl>
          <w:p w:rsidR="00D8738C" w:rsidRPr="00846851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AF0E79" w:rsidRDefault="00AF0E79" w:rsidP="00D8738C">
      <w:pPr>
        <w:spacing w:before="0"/>
        <w:ind w:firstLine="720"/>
        <w:rPr>
          <w:rFonts w:cs="Arial"/>
          <w:i/>
          <w:lang/>
        </w:rPr>
      </w:pPr>
    </w:p>
    <w:p w:rsidR="00D8738C" w:rsidRPr="00E0083B" w:rsidRDefault="00D8738C" w:rsidP="00D8738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i/>
          <w:lang w:val="it-IT"/>
        </w:rPr>
        <w:t>Хи-квадрат</w:t>
      </w:r>
      <w:r w:rsidRPr="00545CA5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контигенције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функционише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овако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алтернатива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врсте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сваку</w:t>
      </w:r>
      <w:r w:rsidRPr="0095267B">
        <w:rPr>
          <w:rFonts w:cs="Arial"/>
          <w:lang w:val="it-IT"/>
        </w:rPr>
        <w:t xml:space="preserve"> </w:t>
      </w:r>
      <w:r w:rsidRPr="00B61A8B">
        <w:rPr>
          <w:rFonts w:cs="Arial"/>
          <w:b/>
          <w:lang w:val="it-IT"/>
        </w:rPr>
        <w:t>ћелију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cell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 налазимо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уколико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налазимо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званим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sr-Cyrl-CS"/>
        </w:rPr>
        <w:t>крајње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marginal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>.</w:t>
      </w:r>
    </w:p>
    <w:p w:rsidR="00D8738C" w:rsidRPr="00652611" w:rsidRDefault="00D8738C" w:rsidP="00D8738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r-Cyrl-CS"/>
        </w:rPr>
        <w:lastRenderedPageBreak/>
        <w:t>Од</w:t>
      </w:r>
      <w:r w:rsidRPr="0095267B">
        <w:rPr>
          <w:rFonts w:cs="Arial"/>
          <w:lang w:val="it-IT"/>
        </w:rPr>
        <w:t xml:space="preserve"> 1443 </w:t>
      </w:r>
      <w:r>
        <w:rPr>
          <w:rFonts w:cs="Arial"/>
          <w:lang w:val="sr-Cyrl-CS"/>
        </w:rPr>
        <w:t xml:space="preserve">посматране </w:t>
      </w:r>
      <w:r>
        <w:rPr>
          <w:rFonts w:cs="Arial"/>
          <w:lang w:val="it-IT"/>
        </w:rPr>
        <w:t>жен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, 899 </w:t>
      </w:r>
      <w:r>
        <w:rPr>
          <w:rFonts w:cs="Arial"/>
          <w:lang w:val="sr-Cyrl-CS"/>
        </w:rPr>
        <w:t>је имало стан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па је </w:t>
      </w:r>
      <w:r>
        <w:rPr>
          <w:rFonts w:cs="Arial"/>
          <w:lang w:val="it-IT"/>
        </w:rPr>
        <w:t>пропорција</w:t>
      </w:r>
      <w:r>
        <w:rPr>
          <w:rFonts w:cs="Arial"/>
          <w:lang w:val="sr-Cyrl-CS"/>
        </w:rPr>
        <w:t xml:space="preserve"> </w:t>
      </w:r>
      <w:r w:rsidRPr="0095267B">
        <w:rPr>
          <w:rFonts w:cs="Arial"/>
          <w:lang w:val="it-IT"/>
        </w:rPr>
        <w:t xml:space="preserve">899/1443.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однос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порођаја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врсте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становања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однос</w:t>
      </w:r>
      <w:r w:rsidRPr="0095267B">
        <w:rPr>
          <w:rFonts w:cs="Arial"/>
          <w:lang w:val="it-IT"/>
        </w:rPr>
        <w:t xml:space="preserve">, 899/1443, </w:t>
      </w:r>
      <w:r>
        <w:rPr>
          <w:rFonts w:cs="Arial"/>
          <w:lang w:val="sr-Cyrl-CS"/>
        </w:rPr>
        <w:t>њених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чланова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99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првој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 w:rsidRPr="0052632E">
        <w:rPr>
          <w:rFonts w:cs="Arial"/>
          <w:position w:val="-6"/>
          <w:lang w:val="it-IT"/>
        </w:rPr>
        <w:object w:dxaOrig="198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9.05pt;height:13.25pt" o:ole="">
            <v:imagedata r:id="rId8" o:title=""/>
          </v:shape>
          <o:OLEObject Type="Embed" ProgID="Equation.3" ShapeID="_x0000_i1025" DrawAspect="Content" ObjectID="_1602945734" r:id="rId9"/>
        </w:objec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Под</w:t>
      </w:r>
      <w:r w:rsidRPr="0095267B">
        <w:rPr>
          <w:rFonts w:cs="Arial"/>
          <w:lang w:val="it-IT"/>
        </w:rPr>
        <w:t xml:space="preserve"> "</w:t>
      </w:r>
      <w:r>
        <w:rPr>
          <w:rFonts w:cs="Arial"/>
          <w:lang w:val="it-IT"/>
        </w:rPr>
        <w:t>очекивало</w:t>
      </w:r>
      <w:r w:rsidRPr="0095267B">
        <w:rPr>
          <w:rFonts w:cs="Arial"/>
          <w:lang w:val="it-IT"/>
        </w:rPr>
        <w:t xml:space="preserve">" </w:t>
      </w:r>
      <w:r>
        <w:rPr>
          <w:rFonts w:cs="Arial"/>
          <w:lang w:val="it-IT"/>
        </w:rPr>
        <w:t>мислимо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просечну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дуге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стазе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заправо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посматрамо</w:t>
      </w:r>
      <w:r w:rsidRPr="0095267B">
        <w:rPr>
          <w:rFonts w:cs="Arial"/>
          <w:lang w:val="it-IT"/>
        </w:rPr>
        <w:t xml:space="preserve"> 61.7 </w:t>
      </w:r>
      <w:r>
        <w:rPr>
          <w:rFonts w:cs="Arial"/>
          <w:lang w:val="it-IT"/>
        </w:rPr>
        <w:t>особа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1344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 w:rsidRPr="0071341A">
        <w:rPr>
          <w:rFonts w:cs="Arial"/>
          <w:position w:val="-6"/>
          <w:lang w:val="it-IT"/>
        </w:rPr>
        <w:object w:dxaOrig="2299" w:dyaOrig="260">
          <v:shape id="_x0000_i1026" type="#_x0000_t75" style="width:115.8pt;height:13.25pt" o:ole="">
            <v:imagedata r:id="rId10" o:title=""/>
          </v:shape>
          <o:OLEObject Type="Embed" ProgID="Equation.3" ShapeID="_x0000_i1026" DrawAspect="Content" ObjectID="_1602945735" r:id="rId11"/>
        </w:objec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Збир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899, </w:t>
      </w:r>
      <w:r>
        <w:rPr>
          <w:rFonts w:cs="Arial"/>
          <w:lang w:val="it-IT"/>
        </w:rPr>
        <w:t>укупна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Слично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томе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258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очекивали</w:t>
      </w:r>
      <w:r w:rsidRPr="0095267B">
        <w:rPr>
          <w:rFonts w:cs="Arial"/>
          <w:lang w:val="it-IT"/>
        </w:rPr>
        <w:t xml:space="preserve"> </w:t>
      </w:r>
      <w:r w:rsidRPr="0071341A">
        <w:rPr>
          <w:rFonts w:cs="Arial"/>
          <w:position w:val="-6"/>
          <w:lang w:val="it-IT"/>
        </w:rPr>
        <w:object w:dxaOrig="1900" w:dyaOrig="260">
          <v:shape id="_x0000_i1027" type="#_x0000_t75" style="width:95.05pt;height:13.25pt" o:ole="">
            <v:imagedata r:id="rId12" o:title=""/>
          </v:shape>
          <o:OLEObject Type="Embed" ProgID="Equation.3" ShapeID="_x0000_i1027" DrawAspect="Content" ObjectID="_1602945736" r:id="rId13"/>
        </w:objec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71341A">
        <w:rPr>
          <w:rFonts w:cs="Arial"/>
          <w:position w:val="-6"/>
          <w:lang w:val="it-IT"/>
        </w:rPr>
        <w:object w:dxaOrig="2299" w:dyaOrig="260">
          <v:shape id="_x0000_i1028" type="#_x0000_t75" style="width:115.8pt;height:13.25pt" o:ole="">
            <v:imagedata r:id="rId14" o:title=""/>
          </v:shape>
          <o:OLEObject Type="Embed" ProgID="Equation.3" ShapeID="_x0000_i1028" DrawAspect="Content" ObjectID="_1602945737" r:id="rId15"/>
        </w:objec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друга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>.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израчунавамо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комбинацију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ћелиј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Десет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ћелија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>2. O</w:t>
      </w:r>
      <w:r>
        <w:rPr>
          <w:rFonts w:cs="Arial"/>
          <w:lang w:val="it-IT"/>
        </w:rPr>
        <w:t>братите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пажњу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принципу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очекивана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ћелију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контигенције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проналази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помоћу</w:t>
      </w:r>
      <w:r>
        <w:rPr>
          <w:rFonts w:cs="Arial"/>
          <w:lang w:val="sr-Cyrl-CS"/>
        </w:rPr>
        <w:t>:</w:t>
      </w:r>
    </w:p>
    <w:p w:rsidR="00D8738C" w:rsidRPr="00071701" w:rsidRDefault="00D8738C" w:rsidP="00D8738C">
      <w:pPr>
        <w:ind w:left="567"/>
        <w:rPr>
          <w:rFonts w:cs="Arial"/>
          <w:u w:val="single"/>
          <w:lang w:val="sr-Latn-CS"/>
        </w:rPr>
      </w:pPr>
      <w:r>
        <w:rPr>
          <w:rFonts w:cs="Arial"/>
          <w:u w:val="single"/>
          <w:lang w:val="sr-Cyrl-CS"/>
        </w:rPr>
        <w:t>укупна вредност реда  x  укупна вредност колоне</w:t>
      </w:r>
    </w:p>
    <w:p w:rsidR="00D8738C" w:rsidRPr="007325A0" w:rsidRDefault="00D8738C" w:rsidP="00D8738C">
      <w:pPr>
        <w:spacing w:before="0"/>
        <w:ind w:left="567"/>
        <w:rPr>
          <w:rFonts w:cs="Arial"/>
          <w:lang w:val="sr-Cyrl-CS"/>
        </w:rPr>
      </w:pPr>
      <w:r>
        <w:rPr>
          <w:rFonts w:cs="Arial"/>
          <w:lang w:val="sr-Cyrl-CS"/>
        </w:rPr>
        <w:t xml:space="preserve">            </w:t>
      </w:r>
      <w:r>
        <w:rPr>
          <w:rFonts w:cs="Arial"/>
          <w:lang w:val="sv-SE"/>
        </w:rPr>
        <w:t xml:space="preserve">              </w:t>
      </w:r>
      <w:r>
        <w:rPr>
          <w:rFonts w:cs="Arial"/>
          <w:lang w:val="it-IT"/>
        </w:rPr>
        <w:t>свеукупн</w:t>
      </w:r>
      <w:r>
        <w:rPr>
          <w:rFonts w:cs="Arial"/>
          <w:lang w:val="sr-Cyrl-CS"/>
        </w:rPr>
        <w:t>а вредност</w:t>
      </w:r>
    </w:p>
    <w:p w:rsidR="00D8738C" w:rsidRDefault="00D8738C" w:rsidP="00D8738C">
      <w:pPr>
        <w:spacing w:before="0"/>
        <w:rPr>
          <w:rFonts w:cs="Arial"/>
          <w:lang w:val="sr-Cyrl-CS"/>
        </w:rPr>
      </w:pPr>
    </w:p>
    <w:p w:rsidR="00D8738C" w:rsidRDefault="00D8738C" w:rsidP="00D8738C">
      <w:pPr>
        <w:spacing w:before="0" w:after="120"/>
        <w:rPr>
          <w:rFonts w:cs="Arial"/>
          <w:lang w:val="sv-SE"/>
        </w:rPr>
      </w:pPr>
      <w:r>
        <w:rPr>
          <w:rFonts w:cs="Arial"/>
          <w:lang w:val="sv-SE"/>
        </w:rPr>
        <w:t>Није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битно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променљива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 ред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колона</w:t>
      </w:r>
      <w:r w:rsidRPr="0095267B">
        <w:rPr>
          <w:rFonts w:cs="Arial"/>
          <w:lang w:val="sv-SE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7000"/>
      </w:tblGrid>
      <w:tr w:rsidR="00D8738C" w:rsidRPr="00270855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270855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>2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 w:rsidRPr="0095267B">
              <w:rPr>
                <w:rFonts w:cs="Arial"/>
                <w:lang w:val="it-IT"/>
              </w:rPr>
              <w:t>O</w:t>
            </w:r>
            <w:r>
              <w:rPr>
                <w:rFonts w:cs="Arial"/>
                <w:lang w:val="it-IT"/>
              </w:rPr>
              <w:t>чекиване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учесталости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нултој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хипотези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10.</w:t>
            </w:r>
            <w:r w:rsidRPr="0095267B">
              <w:rPr>
                <w:rFonts w:cs="Arial"/>
                <w:lang w:val="it-IT"/>
              </w:rPr>
              <w:t>1</w:t>
            </w:r>
          </w:p>
        </w:tc>
      </w:tr>
      <w:tr w:rsidR="00D8738C" w:rsidRPr="00270855">
        <w:trPr>
          <w:trHeight w:val="313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428"/>
              <w:gridCol w:w="1691"/>
              <w:gridCol w:w="1276"/>
              <w:gridCol w:w="1134"/>
            </w:tblGrid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Врста становања</w:t>
                  </w:r>
                </w:p>
              </w:tc>
              <w:tc>
                <w:tcPr>
                  <w:tcW w:w="169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Превремено</w:t>
                  </w:r>
                </w:p>
              </w:tc>
              <w:tc>
                <w:tcPr>
                  <w:tcW w:w="1276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 року</w:t>
                  </w:r>
                </w:p>
              </w:tc>
              <w:tc>
                <w:tcPr>
                  <w:tcW w:w="113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84685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Власник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61.7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837.3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899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FB1A19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Савет станара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17.7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240.3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258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Приватни закуп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12.0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163.0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175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Живе са родитељима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4.9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67.1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72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Друго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2.7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36.3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39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169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99</w:t>
                  </w:r>
                </w:p>
              </w:tc>
              <w:tc>
                <w:tcPr>
                  <w:tcW w:w="1276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1344</w:t>
                  </w:r>
                </w:p>
              </w:tc>
              <w:tc>
                <w:tcPr>
                  <w:tcW w:w="113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1443</w:t>
                  </w:r>
                </w:p>
              </w:tc>
            </w:tr>
          </w:tbl>
          <w:p w:rsidR="00D8738C" w:rsidRPr="00270855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ind w:firstLine="720"/>
        <w:rPr>
          <w:rFonts w:cs="Arial"/>
          <w:lang w:val="sr-Cyrl-CS"/>
        </w:rPr>
      </w:pPr>
    </w:p>
    <w:p w:rsidR="00D8738C" w:rsidRDefault="00D8738C" w:rsidP="00D8738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поредимо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посматране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близу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другима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неусклађеност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због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варијација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Потребна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добро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место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почетак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једноставно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сабрати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посматрана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свеукупну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>
        <w:rPr>
          <w:rFonts w:cs="Arial"/>
          <w:lang w:val="sr-Cyrl-CS"/>
        </w:rPr>
        <w:t xml:space="preserve"> (</w:t>
      </w:r>
      <w:r w:rsidRPr="006B7520">
        <w:rPr>
          <w:rFonts w:cs="Arial"/>
          <w:i/>
          <w:color w:val="0A0905"/>
          <w:lang w:val="sr-Latn-CS" w:eastAsia="sr-Latn-CS"/>
        </w:rPr>
        <w:t>grand total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, 1443.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сличан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проблем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разликама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средине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sr-Cyrl-CS"/>
        </w:rPr>
        <w:t>део 1</w:t>
      </w:r>
      <w:r w:rsidRPr="0095267B">
        <w:rPr>
          <w:rFonts w:cs="Arial"/>
          <w:lang w:val="it-IT"/>
        </w:rPr>
        <w:t xml:space="preserve">.7),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подигли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квадрат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Величина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зависити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разлика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учесталости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приморана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Испоставља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најбоља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 статистика</w:t>
      </w:r>
    </w:p>
    <w:p w:rsidR="00D8738C" w:rsidRPr="0043495F" w:rsidRDefault="00D8738C" w:rsidP="00D8738C">
      <w:pPr>
        <w:spacing w:before="0"/>
        <w:ind w:firstLine="720"/>
        <w:rPr>
          <w:rFonts w:cs="Arial"/>
          <w:lang w:val="sr-Cyrl-CS"/>
        </w:rPr>
      </w:pPr>
    </w:p>
    <w:tbl>
      <w:tblPr>
        <w:tblStyle w:val="TableGrid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134"/>
        <w:gridCol w:w="4961"/>
      </w:tblGrid>
      <w:tr w:rsidR="00D8738C">
        <w:tc>
          <w:tcPr>
            <w:tcW w:w="1134" w:type="dxa"/>
            <w:vMerge w:val="restart"/>
          </w:tcPr>
          <w:p w:rsidR="00D8738C" w:rsidRDefault="00D8738C" w:rsidP="00D35809">
            <w:pPr>
              <w:spacing w:before="240"/>
              <w:rPr>
                <w:lang w:val="sr-Cyrl-CS"/>
              </w:rPr>
            </w:pPr>
            <w:r>
              <w:rPr>
                <w:lang w:val="sr-Cyrl-CS"/>
              </w:rPr>
              <w:t xml:space="preserve">     </w:t>
            </w:r>
            <w:r w:rsidRPr="00E435E7">
              <w:rPr>
                <w:position w:val="-14"/>
              </w:rPr>
              <w:object w:dxaOrig="440" w:dyaOrig="380">
                <v:shape id="_x0000_i1029" type="#_x0000_t75" style="width:21.9pt;height:19pt" o:ole="">
                  <v:imagedata r:id="rId16" o:title=""/>
                </v:shape>
                <o:OLEObject Type="Embed" ProgID="Equation.3" ShapeID="_x0000_i1029" DrawAspect="Content" ObjectID="_1602945738" r:id="rId17"/>
              </w:object>
            </w:r>
          </w:p>
          <w:p w:rsidR="00D8738C" w:rsidRPr="00E435E7" w:rsidRDefault="00D8738C" w:rsidP="00D35809">
            <w:pPr>
              <w:spacing w:before="0"/>
              <w:rPr>
                <w:rFonts w:cs="Arial"/>
                <w:sz w:val="16"/>
                <w:szCs w:val="16"/>
                <w:u w:val="single"/>
                <w:lang w:val="sr-Cyrl-CS"/>
              </w:rPr>
            </w:pPr>
            <w:r w:rsidRPr="00E435E7">
              <w:rPr>
                <w:sz w:val="16"/>
                <w:szCs w:val="16"/>
                <w:lang w:val="sr-Cyrl-CS"/>
              </w:rPr>
              <w:t>све ћелије</w:t>
            </w: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D8738C" w:rsidRPr="004B0B8E" w:rsidRDefault="00D8738C" w:rsidP="00D35809">
            <w:pPr>
              <w:spacing w:before="240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(посматрана</w:t>
            </w:r>
            <w:r w:rsidRPr="004B0B8E">
              <w:rPr>
                <w:rFonts w:cs="Arial"/>
                <w:lang w:val="sr-Cyrl-CS"/>
              </w:rPr>
              <w:t xml:space="preserve"> учесталост – очекивана учесталост</w:t>
            </w:r>
            <w:r>
              <w:rPr>
                <w:rFonts w:cs="Arial"/>
                <w:lang w:val="sr-Cyrl-CS"/>
              </w:rPr>
              <w:t>)</w:t>
            </w:r>
            <w:r w:rsidRPr="00655E07">
              <w:rPr>
                <w:rFonts w:cs="Arial"/>
                <w:vertAlign w:val="superscript"/>
                <w:lang w:val="sr-Cyrl-CS"/>
              </w:rPr>
              <w:t>2</w:t>
            </w:r>
          </w:p>
        </w:tc>
      </w:tr>
      <w:tr w:rsidR="00D8738C">
        <w:trPr>
          <w:trHeight w:val="365"/>
        </w:trPr>
        <w:tc>
          <w:tcPr>
            <w:tcW w:w="1134" w:type="dxa"/>
            <w:vMerge/>
          </w:tcPr>
          <w:p w:rsidR="00D8738C" w:rsidRPr="004C24BE" w:rsidRDefault="00D8738C" w:rsidP="00D35809">
            <w:pPr>
              <w:spacing w:before="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8738C" w:rsidRPr="004F73AA" w:rsidRDefault="00D8738C" w:rsidP="00D35809">
            <w:pPr>
              <w:spacing w:before="0"/>
              <w:jc w:val="center"/>
              <w:rPr>
                <w:rFonts w:cs="Arial"/>
                <w:lang w:val="it-IT"/>
              </w:rPr>
            </w:pPr>
            <w:r w:rsidRPr="004C24BE">
              <w:rPr>
                <w:rFonts w:cs="Arial"/>
                <w:lang w:val="sr-Cyrl-CS"/>
              </w:rPr>
              <w:t>очекивана учесталост</w:t>
            </w:r>
          </w:p>
        </w:tc>
      </w:tr>
    </w:tbl>
    <w:p w:rsidR="00D8738C" w:rsidRDefault="00D8738C" w:rsidP="00D8738C">
      <w:pPr>
        <w:rPr>
          <w:rFonts w:cs="Arial"/>
        </w:rPr>
      </w:pPr>
      <w:r w:rsidRPr="0095267B">
        <w:rPr>
          <w:rFonts w:cs="Arial"/>
        </w:rPr>
        <w:t>O</w:t>
      </w:r>
      <w:r>
        <w:rPr>
          <w:rFonts w:cs="Arial"/>
        </w:rPr>
        <w:t>во</w:t>
      </w:r>
      <w:r w:rsidRPr="0095267B">
        <w:rPr>
          <w:rFonts w:cs="Arial"/>
        </w:rPr>
        <w:t xml:space="preserve"> </w:t>
      </w:r>
      <w:r>
        <w:rPr>
          <w:rFonts w:cs="Arial"/>
        </w:rPr>
        <w:t>се</w:t>
      </w:r>
      <w:r w:rsidRPr="0095267B">
        <w:rPr>
          <w:rFonts w:cs="Arial"/>
        </w:rPr>
        <w:t xml:space="preserve"> </w:t>
      </w:r>
      <w:r>
        <w:rPr>
          <w:rFonts w:cs="Arial"/>
        </w:rPr>
        <w:t>често</w:t>
      </w:r>
      <w:r w:rsidRPr="0095267B">
        <w:rPr>
          <w:rFonts w:cs="Arial"/>
        </w:rPr>
        <w:t xml:space="preserve"> </w:t>
      </w:r>
      <w:r>
        <w:rPr>
          <w:rFonts w:cs="Arial"/>
        </w:rPr>
        <w:t>пише</w:t>
      </w:r>
      <w:r w:rsidRPr="0095267B">
        <w:rPr>
          <w:rFonts w:cs="Arial"/>
        </w:rPr>
        <w:t xml:space="preserve"> </w:t>
      </w:r>
      <w:r>
        <w:rPr>
          <w:rFonts w:cs="Arial"/>
        </w:rPr>
        <w:t>као</w:t>
      </w:r>
    </w:p>
    <w:p w:rsidR="00D8738C" w:rsidRPr="0095267B" w:rsidRDefault="00D8738C" w:rsidP="00D8738C">
      <w:pPr>
        <w:pStyle w:val="Equation1"/>
      </w:pPr>
      <w:r w:rsidRPr="00AC4077">
        <w:rPr>
          <w:position w:val="-20"/>
        </w:rPr>
        <w:object w:dxaOrig="1120" w:dyaOrig="580">
          <v:shape id="_x0000_i1030" type="#_x0000_t75" style="width:55.3pt;height:28.2pt" o:ole="">
            <v:imagedata r:id="rId18" o:title=""/>
          </v:shape>
          <o:OLEObject Type="Embed" ProgID="Equation.3" ShapeID="_x0000_i1030" DrawAspect="Content" ObjectID="_1602945739" r:id="rId19"/>
        </w:object>
      </w:r>
    </w:p>
    <w:p w:rsidR="00D8738C" w:rsidRPr="0095267B" w:rsidRDefault="00D8738C" w:rsidP="00D8738C">
      <w:pPr>
        <w:spacing w:before="0"/>
        <w:rPr>
          <w:rFonts w:cs="Arial"/>
        </w:rPr>
      </w:pPr>
    </w:p>
    <w:p w:rsidR="00D8738C" w:rsidRDefault="00D8738C" w:rsidP="00D8738C">
      <w:pPr>
        <w:spacing w:before="0"/>
        <w:rPr>
          <w:rFonts w:cs="Arial"/>
        </w:rPr>
      </w:pP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</w:rPr>
        <w:t>абелу</w:t>
      </w:r>
      <w:r w:rsidRPr="0095267B">
        <w:rPr>
          <w:rFonts w:cs="Arial"/>
        </w:rPr>
        <w:t xml:space="preserve"> </w:t>
      </w:r>
      <w:r>
        <w:rPr>
          <w:rFonts w:cs="Arial"/>
        </w:rPr>
        <w:t>10.</w:t>
      </w:r>
      <w:r w:rsidRPr="0095267B">
        <w:rPr>
          <w:rFonts w:cs="Arial"/>
        </w:rPr>
        <w:t xml:space="preserve">1 </w:t>
      </w:r>
      <w:r>
        <w:rPr>
          <w:rFonts w:cs="Arial"/>
        </w:rPr>
        <w:t>ово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</w:p>
    <w:p w:rsidR="00D8738C" w:rsidRPr="0095267B" w:rsidRDefault="00D8738C" w:rsidP="00D8738C">
      <w:pPr>
        <w:pStyle w:val="Equation1"/>
      </w:pPr>
      <w:r w:rsidRPr="00BD69A6">
        <w:rPr>
          <w:position w:val="-54"/>
        </w:rPr>
        <w:object w:dxaOrig="7820" w:dyaOrig="1180">
          <v:shape id="_x0000_i1031" type="#_x0000_t75" style="width:390.55pt;height:58.75pt" o:ole="">
            <v:imagedata r:id="rId20" o:title=""/>
          </v:shape>
          <o:OLEObject Type="Embed" ProgID="Equation.3" ShapeID="_x0000_i1031" DrawAspect="Content" ObjectID="_1602945740" r:id="rId21"/>
        </w:object>
      </w:r>
    </w:p>
    <w:p w:rsidR="00D8738C" w:rsidRPr="0095267B" w:rsidRDefault="00D8738C" w:rsidP="00D8738C">
      <w:pPr>
        <w:spacing w:before="0"/>
        <w:rPr>
          <w:rFonts w:cs="Arial"/>
        </w:rPr>
      </w:pPr>
    </w:p>
    <w:p w:rsidR="00D8738C" w:rsidRPr="00B05569" w:rsidRDefault="00D8738C" w:rsidP="00D8738C">
      <w:pPr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Као</w:t>
      </w:r>
      <w:r w:rsidRPr="0095267B">
        <w:rPr>
          <w:rFonts w:cs="Arial"/>
        </w:rPr>
        <w:t xml:space="preserve"> </w:t>
      </w:r>
      <w:r>
        <w:rPr>
          <w:rFonts w:cs="Arial"/>
        </w:rPr>
        <w:t>што</w:t>
      </w:r>
      <w:r w:rsidRPr="0095267B">
        <w:rPr>
          <w:rFonts w:cs="Arial"/>
        </w:rPr>
        <w:t xml:space="preserve"> </w:t>
      </w:r>
      <w:r>
        <w:rPr>
          <w:rFonts w:cs="Arial"/>
        </w:rPr>
        <w:t>ће</w:t>
      </w:r>
      <w:r w:rsidRPr="0095267B">
        <w:rPr>
          <w:rFonts w:cs="Arial"/>
        </w:rPr>
        <w:t xml:space="preserve"> </w:t>
      </w:r>
      <w:r>
        <w:rPr>
          <w:rFonts w:cs="Arial"/>
        </w:rPr>
        <w:t>бити</w:t>
      </w:r>
      <w:r w:rsidRPr="0095267B">
        <w:rPr>
          <w:rFonts w:cs="Arial"/>
        </w:rPr>
        <w:t xml:space="preserve"> </w:t>
      </w:r>
      <w:r>
        <w:rPr>
          <w:rFonts w:cs="Arial"/>
        </w:rPr>
        <w:t>објашњено</w:t>
      </w:r>
      <w:r w:rsidRPr="0095267B">
        <w:rPr>
          <w:rFonts w:cs="Arial"/>
        </w:rPr>
        <w:t xml:space="preserve"> </w:t>
      </w:r>
      <w:r>
        <w:rPr>
          <w:rFonts w:cs="Arial"/>
        </w:rPr>
        <w:t>расподела</w:t>
      </w:r>
      <w:r w:rsidRPr="0095267B">
        <w:rPr>
          <w:rFonts w:cs="Arial"/>
        </w:rPr>
        <w:t xml:space="preserve"> </w:t>
      </w:r>
      <w:r>
        <w:rPr>
          <w:rFonts w:cs="Arial"/>
        </w:rPr>
        <w:t>ове</w:t>
      </w:r>
      <w:r w:rsidRPr="0095267B">
        <w:rPr>
          <w:rFonts w:cs="Arial"/>
        </w:rPr>
        <w:t xml:space="preserve"> </w:t>
      </w:r>
      <w:r>
        <w:rPr>
          <w:rFonts w:cs="Arial"/>
        </w:rPr>
        <w:t>тест</w:t>
      </w:r>
      <w:r w:rsidRPr="0095267B">
        <w:rPr>
          <w:rFonts w:cs="Arial"/>
        </w:rPr>
        <w:t xml:space="preserve"> </w:t>
      </w:r>
      <w:r>
        <w:rPr>
          <w:rFonts w:cs="Arial"/>
        </w:rPr>
        <w:t>статистике</w:t>
      </w:r>
      <w:r w:rsidRPr="0095267B">
        <w:rPr>
          <w:rFonts w:cs="Arial"/>
        </w:rPr>
        <w:t xml:space="preserve"> </w:t>
      </w:r>
      <w:r>
        <w:rPr>
          <w:rFonts w:cs="Arial"/>
        </w:rPr>
        <w:t>када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</w:rPr>
        <w:t>нулта</w:t>
      </w:r>
      <w:r w:rsidRPr="0095267B">
        <w:rPr>
          <w:rFonts w:cs="Arial"/>
        </w:rPr>
        <w:t xml:space="preserve"> </w:t>
      </w:r>
      <w:r>
        <w:rPr>
          <w:rFonts w:cs="Arial"/>
        </w:rPr>
        <w:t>хипотеза</w:t>
      </w:r>
      <w:r w:rsidRPr="0095267B">
        <w:rPr>
          <w:rFonts w:cs="Arial"/>
        </w:rPr>
        <w:t xml:space="preserve"> </w:t>
      </w:r>
      <w:r>
        <w:rPr>
          <w:rFonts w:cs="Arial"/>
        </w:rPr>
        <w:t>тачна</w:t>
      </w:r>
      <w:r w:rsidRPr="0095267B">
        <w:rPr>
          <w:rFonts w:cs="Arial"/>
        </w:rPr>
        <w:t xml:space="preserve">, </w:t>
      </w:r>
      <w:r>
        <w:rPr>
          <w:rFonts w:cs="Arial"/>
        </w:rPr>
        <w:t>а</w:t>
      </w:r>
      <w:r w:rsidRPr="0095267B">
        <w:rPr>
          <w:rFonts w:cs="Arial"/>
        </w:rPr>
        <w:t xml:space="preserve"> </w:t>
      </w:r>
      <w:r>
        <w:rPr>
          <w:rFonts w:cs="Arial"/>
        </w:rPr>
        <w:t>узорак</w:t>
      </w:r>
      <w:r w:rsidRPr="0095267B">
        <w:rPr>
          <w:rFonts w:cs="Arial"/>
        </w:rPr>
        <w:t xml:space="preserve"> </w:t>
      </w:r>
      <w:r>
        <w:rPr>
          <w:rFonts w:cs="Arial"/>
        </w:rPr>
        <w:t>довољно</w:t>
      </w:r>
      <w:r w:rsidRPr="0095267B">
        <w:rPr>
          <w:rFonts w:cs="Arial"/>
        </w:rPr>
        <w:t xml:space="preserve"> </w:t>
      </w:r>
      <w:r>
        <w:rPr>
          <w:rFonts w:cs="Arial"/>
        </w:rPr>
        <w:t>велик</w:t>
      </w:r>
      <w:r>
        <w:rPr>
          <w:rFonts w:cs="Arial"/>
          <w:lang w:val="sr-Cyrl-CS"/>
        </w:rPr>
        <w:t>и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  <w:i/>
          <w:lang w:val="it-IT"/>
        </w:rPr>
        <w:t>Хи-квадрат</w:t>
      </w:r>
      <w:r w:rsidRPr="00545CA5">
        <w:rPr>
          <w:rFonts w:cs="Arial"/>
          <w:lang w:val="it-IT"/>
        </w:rPr>
        <w:t xml:space="preserve"> </w:t>
      </w:r>
      <w:r>
        <w:rPr>
          <w:rFonts w:cs="Arial"/>
        </w:rPr>
        <w:t>расподела</w:t>
      </w:r>
      <w:r w:rsidRPr="0095267B">
        <w:rPr>
          <w:rFonts w:cs="Arial"/>
        </w:rPr>
        <w:t xml:space="preserve"> </w:t>
      </w:r>
      <w:r>
        <w:rPr>
          <w:rFonts w:cs="Arial"/>
        </w:rPr>
        <w:t>са</w:t>
      </w:r>
      <w:r w:rsidRPr="0095267B">
        <w:rPr>
          <w:rFonts w:cs="Arial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- 1)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lang w:val="sr-Latn-CS" w:eastAsia="sr-Latn-CS"/>
        </w:rPr>
        <w:t xml:space="preserve"> - 1) </w:t>
      </w:r>
      <w:r>
        <w:rPr>
          <w:rFonts w:cs="Arial"/>
        </w:rPr>
        <w:t>степени</w:t>
      </w:r>
      <w:r w:rsidRPr="0095267B">
        <w:rPr>
          <w:rFonts w:cs="Arial"/>
        </w:rPr>
        <w:t xml:space="preserve"> </w:t>
      </w:r>
      <w:r>
        <w:rPr>
          <w:rFonts w:cs="Arial"/>
        </w:rPr>
        <w:t>слободе</w:t>
      </w:r>
      <w:r w:rsidRPr="0095267B">
        <w:rPr>
          <w:rFonts w:cs="Arial"/>
        </w:rPr>
        <w:t xml:space="preserve">, </w:t>
      </w:r>
      <w:r>
        <w:rPr>
          <w:rFonts w:cs="Arial"/>
        </w:rPr>
        <w:t>где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број</w:t>
      </w:r>
      <w:r w:rsidRPr="0095267B">
        <w:rPr>
          <w:rFonts w:cs="Arial"/>
        </w:rPr>
        <w:t xml:space="preserve"> </w:t>
      </w:r>
      <w:r>
        <w:rPr>
          <w:rFonts w:cs="Arial"/>
        </w:rPr>
        <w:t>редова</w:t>
      </w:r>
      <w:r>
        <w:rPr>
          <w:rFonts w:cs="Arial"/>
          <w:lang w:val="sr-Cyrl-CS"/>
        </w:rPr>
        <w:t>,</w:t>
      </w:r>
      <w:r w:rsidRPr="0095267B">
        <w:rPr>
          <w:rFonts w:cs="Arial"/>
        </w:rPr>
        <w:t xml:space="preserve"> </w:t>
      </w:r>
      <w:r>
        <w:rPr>
          <w:rFonts w:cs="Arial"/>
        </w:rPr>
        <w:t>а</w:t>
      </w:r>
      <w:r w:rsidRPr="0095267B">
        <w:rPr>
          <w:rFonts w:cs="Arial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</w:rPr>
        <w:t>број</w:t>
      </w:r>
      <w:r w:rsidRPr="0095267B">
        <w:rPr>
          <w:rFonts w:cs="Arial"/>
        </w:rPr>
        <w:t xml:space="preserve"> </w:t>
      </w:r>
      <w:r>
        <w:rPr>
          <w:rFonts w:cs="Arial"/>
        </w:rPr>
        <w:t>колона</w:t>
      </w:r>
      <w:r w:rsidRPr="0095267B">
        <w:rPr>
          <w:rFonts w:cs="Arial"/>
        </w:rPr>
        <w:t xml:space="preserve">. </w:t>
      </w:r>
      <w:r>
        <w:rPr>
          <w:rFonts w:cs="Arial"/>
        </w:rPr>
        <w:t>Расправић</w:t>
      </w:r>
      <w:r>
        <w:rPr>
          <w:rFonts w:cs="Arial"/>
          <w:lang w:val="sr-Cyrl-CS"/>
        </w:rPr>
        <w:t>емо</w:t>
      </w:r>
      <w:r w:rsidRPr="0095267B">
        <w:rPr>
          <w:rFonts w:cs="Arial"/>
        </w:rPr>
        <w:t xml:space="preserve"> </w:t>
      </w:r>
      <w:r>
        <w:rPr>
          <w:rFonts w:cs="Arial"/>
        </w:rPr>
        <w:t>шта</w:t>
      </w:r>
      <w:r w:rsidRPr="0095267B">
        <w:rPr>
          <w:rFonts w:cs="Arial"/>
        </w:rPr>
        <w:t xml:space="preserve"> </w:t>
      </w:r>
      <w:r>
        <w:rPr>
          <w:rFonts w:cs="Arial"/>
        </w:rPr>
        <w:t>се</w:t>
      </w:r>
      <w:r w:rsidRPr="0095267B">
        <w:rPr>
          <w:rFonts w:cs="Arial"/>
        </w:rPr>
        <w:t xml:space="preserve"> </w:t>
      </w:r>
      <w:r>
        <w:rPr>
          <w:rFonts w:cs="Arial"/>
        </w:rPr>
        <w:t>подразумева</w:t>
      </w:r>
      <w:r w:rsidRPr="0095267B">
        <w:rPr>
          <w:rFonts w:cs="Arial"/>
        </w:rPr>
        <w:t xml:space="preserve"> </w:t>
      </w:r>
      <w:r>
        <w:rPr>
          <w:rFonts w:cs="Arial"/>
        </w:rPr>
        <w:t xml:space="preserve">под </w:t>
      </w:r>
      <w:r>
        <w:rPr>
          <w:rFonts w:cs="Arial"/>
          <w:lang w:val="sr-Cyrl-CS"/>
        </w:rPr>
        <w:t>''</w:t>
      </w:r>
      <w:r>
        <w:rPr>
          <w:rFonts w:cs="Arial"/>
        </w:rPr>
        <w:t>довољно</w:t>
      </w:r>
      <w:r w:rsidRPr="0095267B">
        <w:rPr>
          <w:rFonts w:cs="Arial"/>
        </w:rPr>
        <w:t xml:space="preserve"> </w:t>
      </w:r>
      <w:r>
        <w:rPr>
          <w:rFonts w:cs="Arial"/>
        </w:rPr>
        <w:t>велики</w:t>
      </w:r>
      <w:r w:rsidRPr="0095267B">
        <w:rPr>
          <w:rFonts w:cs="Arial"/>
        </w:rPr>
        <w:t>'</w:t>
      </w:r>
      <w:r>
        <w:rPr>
          <w:rFonts w:cs="Arial"/>
          <w:lang w:val="sr-Cyrl-CS"/>
        </w:rPr>
        <w:t>'</w:t>
      </w:r>
      <w:r w:rsidRPr="0095267B">
        <w:rPr>
          <w:rFonts w:cs="Arial"/>
        </w:rPr>
        <w:t xml:space="preserve"> </w:t>
      </w:r>
      <w:r>
        <w:rPr>
          <w:rFonts w:cs="Arial"/>
        </w:rPr>
        <w:t>у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делу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10</w:t>
      </w:r>
      <w:r w:rsidRPr="0095267B">
        <w:rPr>
          <w:rFonts w:cs="Arial"/>
        </w:rPr>
        <w:t xml:space="preserve">.3. </w:t>
      </w:r>
      <w:r>
        <w:rPr>
          <w:rFonts w:cs="Arial"/>
        </w:rPr>
        <w:t>Укупне</w:t>
      </w:r>
      <w:r w:rsidRPr="0095267B">
        <w:rPr>
          <w:rFonts w:cs="Arial"/>
        </w:rPr>
        <w:t xml:space="preserve"> </w:t>
      </w:r>
      <w:r>
        <w:rPr>
          <w:rFonts w:cs="Arial"/>
        </w:rPr>
        <w:t>вредности</w:t>
      </w:r>
      <w:r w:rsidRPr="0095267B">
        <w:rPr>
          <w:rFonts w:cs="Arial"/>
        </w:rPr>
        <w:t xml:space="preserve"> </w:t>
      </w:r>
      <w:r>
        <w:rPr>
          <w:rFonts w:cs="Arial"/>
        </w:rPr>
        <w:t>реда</w:t>
      </w:r>
      <w:r w:rsidRPr="0095267B">
        <w:rPr>
          <w:rFonts w:cs="Arial"/>
        </w:rPr>
        <w:t xml:space="preserve"> </w:t>
      </w:r>
      <w:r>
        <w:rPr>
          <w:rFonts w:cs="Arial"/>
        </w:rPr>
        <w:t>и</w:t>
      </w:r>
      <w:r w:rsidRPr="0095267B">
        <w:rPr>
          <w:rFonts w:cs="Arial"/>
        </w:rPr>
        <w:t xml:space="preserve"> </w:t>
      </w:r>
      <w:r>
        <w:rPr>
          <w:rFonts w:cs="Arial"/>
        </w:rPr>
        <w:t>колоне</w:t>
      </w:r>
      <w:r w:rsidRPr="0095267B">
        <w:rPr>
          <w:rFonts w:cs="Arial"/>
        </w:rPr>
        <w:t xml:space="preserve"> </w:t>
      </w:r>
      <w:r>
        <w:rPr>
          <w:rFonts w:cs="Arial"/>
        </w:rPr>
        <w:t>третирамо</w:t>
      </w:r>
      <w:r w:rsidRPr="0095267B">
        <w:rPr>
          <w:rFonts w:cs="Arial"/>
        </w:rPr>
        <w:t xml:space="preserve"> </w:t>
      </w:r>
      <w:r>
        <w:rPr>
          <w:rFonts w:cs="Arial"/>
        </w:rPr>
        <w:t>као</w:t>
      </w:r>
      <w:r w:rsidRPr="0095267B">
        <w:rPr>
          <w:rFonts w:cs="Arial"/>
        </w:rPr>
        <w:t xml:space="preserve"> </w:t>
      </w:r>
      <w:r>
        <w:rPr>
          <w:rFonts w:cs="Arial"/>
        </w:rPr>
        <w:t>фиксне</w:t>
      </w:r>
      <w:r w:rsidRPr="0095267B">
        <w:rPr>
          <w:rFonts w:cs="Arial"/>
        </w:rPr>
        <w:t xml:space="preserve"> </w:t>
      </w:r>
      <w:r>
        <w:rPr>
          <w:rFonts w:cs="Arial"/>
        </w:rPr>
        <w:t>и</w:t>
      </w:r>
      <w:r w:rsidRPr="0095267B">
        <w:rPr>
          <w:rFonts w:cs="Arial"/>
        </w:rPr>
        <w:t xml:space="preserve"> </w:t>
      </w:r>
      <w:r>
        <w:rPr>
          <w:rFonts w:cs="Arial"/>
        </w:rPr>
        <w:t>само</w:t>
      </w:r>
      <w:r w:rsidRPr="0095267B">
        <w:rPr>
          <w:rFonts w:cs="Arial"/>
        </w:rPr>
        <w:t xml:space="preserve"> </w:t>
      </w:r>
      <w:r>
        <w:rPr>
          <w:rFonts w:cs="Arial"/>
        </w:rPr>
        <w:t>разматрамо</w:t>
      </w:r>
      <w:r w:rsidRPr="0095267B">
        <w:rPr>
          <w:rFonts w:cs="Arial"/>
        </w:rPr>
        <w:t xml:space="preserve"> </w:t>
      </w:r>
      <w:r>
        <w:rPr>
          <w:rFonts w:cs="Arial"/>
        </w:rPr>
        <w:t>расподелу</w:t>
      </w:r>
      <w:r w:rsidRPr="0095267B">
        <w:rPr>
          <w:rFonts w:cs="Arial"/>
        </w:rPr>
        <w:t xml:space="preserve"> </w:t>
      </w:r>
      <w:r>
        <w:rPr>
          <w:rFonts w:cs="Arial"/>
        </w:rPr>
        <w:t>табела</w:t>
      </w:r>
      <w:r w:rsidRPr="0095267B">
        <w:rPr>
          <w:rFonts w:cs="Arial"/>
        </w:rPr>
        <w:t xml:space="preserve"> </w:t>
      </w:r>
      <w:r>
        <w:rPr>
          <w:rFonts w:cs="Arial"/>
        </w:rPr>
        <w:t>са</w:t>
      </w:r>
      <w:r w:rsidRPr="0095267B">
        <w:rPr>
          <w:rFonts w:cs="Arial"/>
        </w:rPr>
        <w:t xml:space="preserve"> </w:t>
      </w:r>
      <w:r>
        <w:rPr>
          <w:rFonts w:cs="Arial"/>
        </w:rPr>
        <w:t>тим</w:t>
      </w:r>
      <w:r w:rsidRPr="0095267B">
        <w:rPr>
          <w:rFonts w:cs="Arial"/>
        </w:rPr>
        <w:t xml:space="preserve"> </w:t>
      </w:r>
      <w:r>
        <w:rPr>
          <w:rFonts w:cs="Arial"/>
        </w:rPr>
        <w:t>вредностима</w:t>
      </w:r>
      <w:r w:rsidRPr="0095267B">
        <w:rPr>
          <w:rFonts w:cs="Arial"/>
        </w:rPr>
        <w:t xml:space="preserve">. </w:t>
      </w:r>
      <w:r>
        <w:rPr>
          <w:rFonts w:cs="Arial"/>
        </w:rPr>
        <w:t>Тест</w:t>
      </w:r>
      <w:r w:rsidRPr="0095267B">
        <w:rPr>
          <w:rFonts w:cs="Arial"/>
        </w:rPr>
        <w:t xml:space="preserve"> </w:t>
      </w:r>
      <w:r>
        <w:rPr>
          <w:rFonts w:cs="Arial"/>
        </w:rPr>
        <w:t>се</w:t>
      </w:r>
      <w:r w:rsidRPr="0095267B">
        <w:rPr>
          <w:rFonts w:cs="Arial"/>
        </w:rPr>
        <w:t xml:space="preserve"> </w:t>
      </w:r>
      <w:r>
        <w:rPr>
          <w:rFonts w:cs="Arial"/>
        </w:rPr>
        <w:t>сматра</w:t>
      </w:r>
      <w:r w:rsidRPr="0095267B">
        <w:rPr>
          <w:rFonts w:cs="Arial"/>
        </w:rPr>
        <w:t xml:space="preserve"> </w:t>
      </w:r>
      <w:r>
        <w:rPr>
          <w:rFonts w:cs="Arial"/>
        </w:rPr>
        <w:t>условн</w:t>
      </w:r>
      <w:r>
        <w:rPr>
          <w:rFonts w:cs="Arial"/>
          <w:lang w:val="sr-Cyrl-CS"/>
        </w:rPr>
        <w:t>им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conditional</w:t>
      </w:r>
      <w:r>
        <w:rPr>
          <w:rFonts w:cs="Arial"/>
          <w:lang w:val="sr-Cyrl-CS"/>
        </w:rPr>
        <w:t xml:space="preserve">) на </w:t>
      </w:r>
      <w:r>
        <w:rPr>
          <w:rFonts w:cs="Arial"/>
        </w:rPr>
        <w:t>овим</w:t>
      </w:r>
      <w:r w:rsidRPr="0095267B">
        <w:rPr>
          <w:rFonts w:cs="Arial"/>
        </w:rPr>
        <w:t xml:space="preserve"> </w:t>
      </w:r>
      <w:r>
        <w:rPr>
          <w:rFonts w:cs="Arial"/>
        </w:rPr>
        <w:t>укупним</w:t>
      </w:r>
      <w:r w:rsidRPr="0095267B">
        <w:rPr>
          <w:rFonts w:cs="Arial"/>
        </w:rPr>
        <w:t xml:space="preserve"> </w:t>
      </w:r>
      <w:r>
        <w:rPr>
          <w:rFonts w:cs="Arial"/>
        </w:rPr>
        <w:t>вредностима</w:t>
      </w:r>
      <w:r w:rsidRPr="0095267B">
        <w:rPr>
          <w:rFonts w:cs="Arial"/>
        </w:rPr>
        <w:t xml:space="preserve">. </w:t>
      </w:r>
      <w:r>
        <w:rPr>
          <w:rFonts w:cs="Arial"/>
        </w:rPr>
        <w:t>Можемо</w:t>
      </w:r>
      <w:r w:rsidRPr="0095267B">
        <w:rPr>
          <w:rFonts w:cs="Arial"/>
        </w:rPr>
        <w:t xml:space="preserve"> </w:t>
      </w:r>
      <w:r>
        <w:rPr>
          <w:rFonts w:cs="Arial"/>
        </w:rPr>
        <w:t>доказати</w:t>
      </w:r>
      <w:r w:rsidRPr="0095267B">
        <w:rPr>
          <w:rFonts w:cs="Arial"/>
        </w:rPr>
        <w:t xml:space="preserve"> </w:t>
      </w:r>
      <w:r>
        <w:rPr>
          <w:rFonts w:cs="Arial"/>
        </w:rPr>
        <w:t>да</w:t>
      </w:r>
      <w:r w:rsidRPr="0095267B">
        <w:rPr>
          <w:rFonts w:cs="Arial"/>
        </w:rPr>
        <w:t xml:space="preserve"> </w:t>
      </w:r>
      <w:r>
        <w:rPr>
          <w:rFonts w:cs="Arial"/>
        </w:rPr>
        <w:t>губимо</w:t>
      </w:r>
      <w:r w:rsidRPr="0095267B">
        <w:rPr>
          <w:rFonts w:cs="Arial"/>
        </w:rPr>
        <w:t xml:space="preserve"> </w:t>
      </w:r>
      <w:r>
        <w:rPr>
          <w:rFonts w:cs="Arial"/>
        </w:rPr>
        <w:t>врло</w:t>
      </w:r>
      <w:r w:rsidRPr="0095267B">
        <w:rPr>
          <w:rFonts w:cs="Arial"/>
        </w:rPr>
        <w:t xml:space="preserve"> </w:t>
      </w:r>
      <w:r>
        <w:rPr>
          <w:rFonts w:cs="Arial"/>
        </w:rPr>
        <w:t>мало</w:t>
      </w:r>
      <w:r w:rsidRPr="0095267B">
        <w:rPr>
          <w:rFonts w:cs="Arial"/>
        </w:rPr>
        <w:t xml:space="preserve"> </w:t>
      </w:r>
      <w:r>
        <w:rPr>
          <w:rFonts w:cs="Arial"/>
        </w:rPr>
        <w:t>података</w:t>
      </w:r>
      <w:r w:rsidRPr="0095267B">
        <w:rPr>
          <w:rFonts w:cs="Arial"/>
        </w:rPr>
        <w:t xml:space="preserve"> </w:t>
      </w:r>
      <w:r>
        <w:rPr>
          <w:rFonts w:cs="Arial"/>
        </w:rPr>
        <w:t>радећи</w:t>
      </w:r>
      <w:r w:rsidRPr="0095267B">
        <w:rPr>
          <w:rFonts w:cs="Arial"/>
        </w:rPr>
        <w:t xml:space="preserve"> </w:t>
      </w:r>
      <w:r>
        <w:rPr>
          <w:rFonts w:cs="Arial"/>
        </w:rPr>
        <w:t>ово</w:t>
      </w:r>
      <w:r>
        <w:rPr>
          <w:rFonts w:cs="Arial"/>
          <w:lang w:val="sr-Cyrl-CS"/>
        </w:rPr>
        <w:t>,</w:t>
      </w:r>
      <w:r w:rsidRPr="0095267B">
        <w:rPr>
          <w:rFonts w:cs="Arial"/>
        </w:rPr>
        <w:t xml:space="preserve"> </w:t>
      </w:r>
      <w:r>
        <w:rPr>
          <w:rFonts w:cs="Arial"/>
        </w:rPr>
        <w:t>а</w:t>
      </w:r>
      <w:r w:rsidRPr="0095267B">
        <w:rPr>
          <w:rFonts w:cs="Arial"/>
        </w:rPr>
        <w:t xml:space="preserve"> </w:t>
      </w:r>
      <w:r>
        <w:rPr>
          <w:rFonts w:cs="Arial"/>
        </w:rPr>
        <w:t>добијамо</w:t>
      </w:r>
      <w:r w:rsidRPr="0095267B">
        <w:rPr>
          <w:rFonts w:cs="Arial"/>
        </w:rPr>
        <w:t xml:space="preserve"> </w:t>
      </w:r>
      <w:r>
        <w:rPr>
          <w:rFonts w:cs="Arial"/>
        </w:rPr>
        <w:t>једноставан</w:t>
      </w:r>
      <w:r w:rsidRPr="0095267B">
        <w:rPr>
          <w:rFonts w:cs="Arial"/>
        </w:rPr>
        <w:t xml:space="preserve"> </w:t>
      </w:r>
      <w:r>
        <w:rPr>
          <w:rFonts w:cs="Arial"/>
        </w:rPr>
        <w:t>тест</w:t>
      </w:r>
      <w:r w:rsidRPr="0095267B">
        <w:rPr>
          <w:rFonts w:cs="Arial"/>
        </w:rPr>
        <w:t>.</w:t>
      </w:r>
    </w:p>
    <w:p w:rsidR="00D8738C" w:rsidRDefault="00F43BA6" w:rsidP="00D8738C">
      <w:pPr>
        <w:pStyle w:val="Figure1"/>
        <w:spacing w:before="240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641725" cy="2663825"/>
            <wp:effectExtent l="19050" t="0" r="0" b="0"/>
            <wp:docPr id="48" name="Picture 48" descr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Slika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1725" cy="266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738C" w:rsidRDefault="00D8738C" w:rsidP="00D8738C">
      <w:pPr>
        <w:spacing w:before="0"/>
        <w:jc w:val="center"/>
        <w:rPr>
          <w:rFonts w:cs="Arial"/>
          <w:lang w:val="sr-Cyrl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270855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10.</w:t>
      </w:r>
      <w:r w:rsidRPr="00270855">
        <w:rPr>
          <w:rFonts w:cs="Arial"/>
          <w:bCs/>
          <w:color w:val="0A0905"/>
          <w:lang w:val="sr-Latn-CS" w:eastAsia="sr-Latn-CS"/>
        </w:rPr>
        <w:t>1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270855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П</w:t>
      </w:r>
      <w:r>
        <w:rPr>
          <w:rFonts w:cs="Arial"/>
          <w:lang w:val="it-IT"/>
        </w:rPr>
        <w:t>роцент</w:t>
      </w:r>
      <w:r>
        <w:rPr>
          <w:rFonts w:cs="Arial"/>
          <w:lang w:val="sr-Cyrl-CS"/>
        </w:rPr>
        <w:t>на т</w:t>
      </w:r>
      <w:r>
        <w:rPr>
          <w:rFonts w:cs="Arial"/>
          <w:lang w:val="it-IT"/>
        </w:rPr>
        <w:t>ачка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 xml:space="preserve">Хи-квадрат </w:t>
      </w:r>
      <w:r>
        <w:rPr>
          <w:rFonts w:cs="Arial"/>
          <w:lang w:val="it-IT"/>
        </w:rPr>
        <w:t xml:space="preserve"> расподеле</w:t>
      </w:r>
    </w:p>
    <w:p w:rsidR="00D8738C" w:rsidRDefault="00D8738C" w:rsidP="00D8738C">
      <w:pPr>
        <w:spacing w:before="0"/>
        <w:rPr>
          <w:rFonts w:cs="Arial"/>
          <w:lang w:val="sr-Cyrl-CS"/>
        </w:rPr>
      </w:pPr>
    </w:p>
    <w:p w:rsidR="00D8738C" w:rsidRPr="0095267B" w:rsidRDefault="00D8738C" w:rsidP="00D8738C">
      <w:pPr>
        <w:spacing w:before="0"/>
        <w:ind w:firstLine="720"/>
        <w:rPr>
          <w:rFonts w:cs="Arial"/>
          <w:lang w:val="it-IT"/>
        </w:rPr>
      </w:pP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 </w:t>
      </w:r>
      <w:r>
        <w:rPr>
          <w:rFonts w:cs="Arial"/>
          <w:lang w:val="it-IT"/>
        </w:rPr>
        <w:t>имамо</w:t>
      </w:r>
      <w:r w:rsidRPr="0095267B">
        <w:rPr>
          <w:rFonts w:cs="Arial"/>
          <w:lang w:val="it-IT"/>
        </w:rPr>
        <w:t xml:space="preserve"> (5 - 1) </w:t>
      </w:r>
      <w:r>
        <w:rPr>
          <w:rFonts w:cs="Arial"/>
          <w:lang w:val="it-IT"/>
        </w:rPr>
        <w:t>x</w:t>
      </w:r>
      <w:r w:rsidRPr="0095267B">
        <w:rPr>
          <w:rFonts w:cs="Arial"/>
          <w:lang w:val="it-IT"/>
        </w:rPr>
        <w:t xml:space="preserve"> (2 - 1) = 4 </w:t>
      </w:r>
      <w:r>
        <w:rPr>
          <w:rFonts w:cs="Arial"/>
          <w:lang w:val="it-IT"/>
        </w:rPr>
        <w:t>степен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3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процент</w:t>
      </w:r>
      <w:r>
        <w:rPr>
          <w:rFonts w:cs="Arial"/>
          <w:lang w:val="sr-Cyrl-CS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 xml:space="preserve">Хи-квадрат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од</w:t>
      </w:r>
      <w:r>
        <w:rPr>
          <w:rFonts w:cs="Arial"/>
          <w:lang w:val="it-IT"/>
        </w:rPr>
        <w:t>абране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степене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горње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процент</w:t>
      </w:r>
      <w:r>
        <w:rPr>
          <w:rFonts w:cs="Arial"/>
          <w:lang w:val="sr-Cyrl-CS"/>
        </w:rPr>
        <w:t>не</w:t>
      </w:r>
      <w:r>
        <w:rPr>
          <w:rFonts w:cs="Arial"/>
          <w:lang w:val="it-IT"/>
        </w:rPr>
        <w:t xml:space="preserve"> тачке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приказано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слици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1. </w:t>
      </w:r>
      <w:r>
        <w:rPr>
          <w:rFonts w:cs="Arial"/>
          <w:lang w:val="it-IT"/>
        </w:rPr>
        <w:t>Видимо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степена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 xml:space="preserve"> 5% </w:t>
      </w:r>
      <w:r>
        <w:rPr>
          <w:rFonts w:cs="Arial"/>
          <w:lang w:val="it-IT"/>
        </w:rPr>
        <w:t>тачка</w:t>
      </w:r>
      <w:r w:rsidRPr="0095267B">
        <w:rPr>
          <w:rFonts w:cs="Arial"/>
          <w:lang w:val="it-IT"/>
        </w:rPr>
        <w:t xml:space="preserve"> 9.49</w:t>
      </w:r>
      <w:r>
        <w:rPr>
          <w:rFonts w:cs="Arial"/>
          <w:lang w:val="it-IT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1% </w:t>
      </w:r>
      <w:r>
        <w:rPr>
          <w:rFonts w:cs="Arial"/>
          <w:lang w:val="it-IT"/>
        </w:rPr>
        <w:t>тачка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13.28,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наша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посматрана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10.5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1%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5%, </w:t>
      </w:r>
      <w:r>
        <w:rPr>
          <w:rFonts w:cs="Arial"/>
          <w:lang w:val="it-IT"/>
        </w:rPr>
        <w:t>односно</w:t>
      </w:r>
      <w:r>
        <w:rPr>
          <w:rFonts w:cs="Arial"/>
          <w:lang w:val="sr-Cyrl-CS"/>
        </w:rPr>
        <w:t xml:space="preserve"> између</w:t>
      </w:r>
      <w:r w:rsidRPr="0095267B">
        <w:rPr>
          <w:rFonts w:cs="Arial"/>
          <w:lang w:val="it-IT"/>
        </w:rPr>
        <w:t xml:space="preserve"> 0.01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0.05.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рачунарски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програм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који исписује </w:t>
      </w:r>
      <w:r>
        <w:rPr>
          <w:rFonts w:cs="Arial"/>
          <w:lang w:val="it-IT"/>
        </w:rPr>
        <w:t>стварну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налазимо</w:t>
      </w:r>
      <w:r>
        <w:rPr>
          <w:rFonts w:cs="Arial"/>
          <w:lang w:val="sr-Cyrl-CS"/>
        </w:rPr>
        <w:t xml:space="preserve"> да је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 w:rsidRPr="0095267B">
        <w:rPr>
          <w:rFonts w:cs="Arial"/>
          <w:lang w:val="it-IT"/>
        </w:rPr>
        <w:t xml:space="preserve">= 0.03. </w:t>
      </w:r>
      <w:r>
        <w:rPr>
          <w:rFonts w:cs="Arial"/>
          <w:lang w:val="it-IT"/>
        </w:rPr>
        <w:t>Подаци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складу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да </w:t>
      </w:r>
      <w:r>
        <w:rPr>
          <w:rFonts w:cs="Arial"/>
          <w:lang w:val="it-IT"/>
        </w:rPr>
        <w:t>закључи</w:t>
      </w:r>
      <w:r>
        <w:rPr>
          <w:rFonts w:cs="Arial"/>
          <w:lang w:val="sr-Cyrl-CS"/>
        </w:rPr>
        <w:t>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добар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доказ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вези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врсте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становања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времена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порођаја</w:t>
      </w:r>
      <w:r w:rsidRPr="0095267B">
        <w:rPr>
          <w:rFonts w:cs="Arial"/>
          <w:lang w:val="it-IT"/>
        </w:rPr>
        <w:t>.</w:t>
      </w:r>
    </w:p>
    <w:p w:rsidR="00D8738C" w:rsidRPr="00AC5338" w:rsidRDefault="00D8738C" w:rsidP="00D8738C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lang w:val="it-IT"/>
        </w:rPr>
        <w:t>Хи-квадрат статистика</w:t>
      </w:r>
      <w:r w:rsidRPr="0095267B">
        <w:rPr>
          <w:lang w:val="it-IT"/>
        </w:rPr>
        <w:t xml:space="preserve"> </w:t>
      </w:r>
      <w:r>
        <w:rPr>
          <w:lang w:val="it-IT"/>
        </w:rPr>
        <w:t>није</w:t>
      </w:r>
      <w:r w:rsidRPr="0095267B">
        <w:rPr>
          <w:lang w:val="it-IT"/>
        </w:rPr>
        <w:t xml:space="preserve"> </w:t>
      </w:r>
      <w:r>
        <w:rPr>
          <w:lang w:val="it-IT"/>
        </w:rPr>
        <w:t>показатељ</w:t>
      </w:r>
      <w:r w:rsidRPr="0095267B">
        <w:rPr>
          <w:lang w:val="it-IT"/>
        </w:rPr>
        <w:t xml:space="preserve"> </w:t>
      </w:r>
      <w:r>
        <w:rPr>
          <w:lang w:val="it-IT"/>
        </w:rPr>
        <w:t>снаге</w:t>
      </w:r>
      <w:r w:rsidRPr="0095267B">
        <w:rPr>
          <w:lang w:val="it-IT"/>
        </w:rPr>
        <w:t xml:space="preserve"> </w:t>
      </w:r>
      <w:r>
        <w:rPr>
          <w:lang w:val="it-IT"/>
        </w:rPr>
        <w:t>повезаности</w:t>
      </w:r>
      <w:r w:rsidRPr="0095267B">
        <w:rPr>
          <w:lang w:val="it-IT"/>
        </w:rPr>
        <w:t xml:space="preserve">. </w:t>
      </w:r>
      <w:r>
        <w:rPr>
          <w:lang w:val="it-IT"/>
        </w:rPr>
        <w:t>Ако</w:t>
      </w:r>
      <w:r w:rsidRPr="0095267B">
        <w:rPr>
          <w:lang w:val="it-IT"/>
        </w:rPr>
        <w:t xml:space="preserve"> </w:t>
      </w:r>
      <w:r>
        <w:rPr>
          <w:lang w:val="it-IT"/>
        </w:rPr>
        <w:t>удвостручимо</w:t>
      </w:r>
      <w:r w:rsidRPr="0095267B">
        <w:rPr>
          <w:lang w:val="it-IT"/>
        </w:rPr>
        <w:t xml:space="preserve"> </w:t>
      </w:r>
      <w:r>
        <w:rPr>
          <w:lang w:val="it-IT"/>
        </w:rPr>
        <w:t>учесталости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Табели</w:t>
      </w:r>
      <w:r w:rsidRPr="0095267B">
        <w:rPr>
          <w:lang w:val="it-IT"/>
        </w:rPr>
        <w:t xml:space="preserve"> </w:t>
      </w:r>
      <w:r>
        <w:rPr>
          <w:lang w:val="it-IT"/>
        </w:rPr>
        <w:t>10.</w:t>
      </w:r>
      <w:r w:rsidRPr="0095267B">
        <w:rPr>
          <w:lang w:val="it-IT"/>
        </w:rPr>
        <w:t xml:space="preserve">1, </w:t>
      </w:r>
      <w:r>
        <w:rPr>
          <w:lang w:val="it-IT"/>
        </w:rPr>
        <w:t>то</w:t>
      </w:r>
      <w:r w:rsidRPr="0095267B">
        <w:rPr>
          <w:lang w:val="it-IT"/>
        </w:rPr>
        <w:t xml:space="preserve"> </w:t>
      </w:r>
      <w:r>
        <w:rPr>
          <w:lang w:val="it-IT"/>
        </w:rPr>
        <w:t>ће</w:t>
      </w:r>
      <w:r w:rsidRPr="0095267B">
        <w:rPr>
          <w:lang w:val="it-IT"/>
        </w:rPr>
        <w:t xml:space="preserve"> </w:t>
      </w:r>
      <w:r>
        <w:rPr>
          <w:lang w:val="it-IT"/>
        </w:rPr>
        <w:t>удвостручити</w:t>
      </w:r>
      <w:r w:rsidRPr="0095267B">
        <w:rPr>
          <w:lang w:val="it-IT"/>
        </w:rPr>
        <w:t xml:space="preserve"> </w:t>
      </w:r>
      <w:r>
        <w:rPr>
          <w:lang w:val="it-IT"/>
        </w:rPr>
        <w:t>хи-квадрат</w:t>
      </w:r>
      <w:r w:rsidRPr="0095267B">
        <w:rPr>
          <w:lang w:val="it-IT"/>
        </w:rPr>
        <w:t xml:space="preserve">, </w:t>
      </w:r>
      <w:r>
        <w:rPr>
          <w:lang w:val="it-IT"/>
        </w:rPr>
        <w:t>али</w:t>
      </w:r>
      <w:r w:rsidRPr="0095267B">
        <w:rPr>
          <w:lang w:val="it-IT"/>
        </w:rPr>
        <w:t xml:space="preserve"> </w:t>
      </w:r>
      <w:r>
        <w:rPr>
          <w:lang w:val="it-IT"/>
        </w:rPr>
        <w:t>снага</w:t>
      </w:r>
      <w:r w:rsidRPr="0095267B">
        <w:rPr>
          <w:lang w:val="it-IT"/>
        </w:rPr>
        <w:t xml:space="preserve"> </w:t>
      </w:r>
      <w:r>
        <w:rPr>
          <w:lang w:val="it-IT"/>
        </w:rPr>
        <w:t>повезаности</w:t>
      </w:r>
      <w:r w:rsidRPr="0095267B">
        <w:rPr>
          <w:lang w:val="it-IT"/>
        </w:rPr>
        <w:t xml:space="preserve"> </w:t>
      </w:r>
      <w:r>
        <w:rPr>
          <w:lang w:val="it-IT"/>
        </w:rPr>
        <w:t>остаје</w:t>
      </w:r>
      <w:r w:rsidRPr="0095267B">
        <w:rPr>
          <w:lang w:val="it-IT"/>
        </w:rPr>
        <w:t xml:space="preserve"> </w:t>
      </w:r>
      <w:r>
        <w:rPr>
          <w:lang w:val="it-IT"/>
        </w:rPr>
        <w:t>непромењена</w:t>
      </w:r>
      <w:r w:rsidRPr="0095267B">
        <w:rPr>
          <w:lang w:val="it-IT"/>
        </w:rPr>
        <w:t>. O</w:t>
      </w:r>
      <w:r>
        <w:rPr>
          <w:lang w:val="it-IT"/>
        </w:rPr>
        <w:t>братите</w:t>
      </w:r>
      <w:r w:rsidRPr="0095267B">
        <w:rPr>
          <w:lang w:val="it-IT"/>
        </w:rPr>
        <w:t xml:space="preserve"> </w:t>
      </w:r>
      <w:r>
        <w:rPr>
          <w:lang w:val="it-IT"/>
        </w:rPr>
        <w:t>пажњу</w:t>
      </w:r>
      <w:r w:rsidRPr="0095267B">
        <w:rPr>
          <w:lang w:val="it-IT"/>
        </w:rPr>
        <w:t xml:space="preserve"> </w:t>
      </w:r>
      <w:r>
        <w:rPr>
          <w:lang w:val="it-IT"/>
        </w:rPr>
        <w:t>да</w:t>
      </w:r>
      <w:r w:rsidRPr="0095267B">
        <w:rPr>
          <w:lang w:val="it-IT"/>
        </w:rPr>
        <w:t xml:space="preserve"> </w:t>
      </w:r>
      <w:r>
        <w:rPr>
          <w:lang w:val="it-IT"/>
        </w:rPr>
        <w:t>можемо</w:t>
      </w:r>
      <w:r w:rsidRPr="0095267B">
        <w:rPr>
          <w:lang w:val="it-IT"/>
        </w:rPr>
        <w:t xml:space="preserve"> </w:t>
      </w:r>
      <w:r>
        <w:rPr>
          <w:lang w:val="it-IT"/>
        </w:rPr>
        <w:t>користити</w:t>
      </w:r>
      <w:r w:rsidRPr="0095267B">
        <w:rPr>
          <w:lang w:val="it-IT"/>
        </w:rPr>
        <w:t xml:space="preserve"> </w:t>
      </w:r>
      <w:r>
        <w:rPr>
          <w:lang w:val="it-IT"/>
        </w:rPr>
        <w:t xml:space="preserve">хи-квадрат </w:t>
      </w:r>
      <w:r w:rsidRPr="0095267B">
        <w:rPr>
          <w:lang w:val="it-IT"/>
        </w:rPr>
        <w:t xml:space="preserve"> </w:t>
      </w:r>
      <w:r>
        <w:rPr>
          <w:lang w:val="it-IT"/>
        </w:rPr>
        <w:t>тест</w:t>
      </w:r>
      <w:r w:rsidRPr="0095267B">
        <w:rPr>
          <w:lang w:val="it-IT"/>
        </w:rPr>
        <w:t xml:space="preserve"> </w:t>
      </w:r>
      <w:r>
        <w:rPr>
          <w:lang w:val="it-IT"/>
        </w:rPr>
        <w:t>само</w:t>
      </w:r>
      <w:r w:rsidRPr="0095267B">
        <w:rPr>
          <w:lang w:val="it-IT"/>
        </w:rPr>
        <w:t xml:space="preserve"> </w:t>
      </w:r>
      <w:r>
        <w:rPr>
          <w:lang w:val="it-IT"/>
        </w:rPr>
        <w:t>када</w:t>
      </w:r>
      <w:r w:rsidRPr="0095267B">
        <w:rPr>
          <w:lang w:val="it-IT"/>
        </w:rPr>
        <w:t xml:space="preserve"> </w:t>
      </w:r>
      <w:r>
        <w:rPr>
          <w:lang w:val="it-IT"/>
        </w:rPr>
        <w:t>су</w:t>
      </w:r>
      <w:r w:rsidRPr="0095267B">
        <w:rPr>
          <w:lang w:val="it-IT"/>
        </w:rPr>
        <w:t xml:space="preserve"> </w:t>
      </w:r>
      <w:r>
        <w:rPr>
          <w:lang w:val="it-IT"/>
        </w:rPr>
        <w:t>бројеви</w:t>
      </w:r>
      <w:r w:rsidRPr="0095267B">
        <w:rPr>
          <w:lang w:val="it-IT"/>
        </w:rPr>
        <w:t xml:space="preserve"> </w:t>
      </w:r>
      <w:r>
        <w:rPr>
          <w:lang w:val="it-IT"/>
        </w:rPr>
        <w:t>у</w:t>
      </w:r>
      <w:r w:rsidRPr="0095267B">
        <w:rPr>
          <w:lang w:val="it-IT"/>
        </w:rPr>
        <w:t xml:space="preserve"> </w:t>
      </w:r>
      <w:r>
        <w:rPr>
          <w:lang w:val="it-IT"/>
        </w:rPr>
        <w:t>ћелијама</w:t>
      </w:r>
      <w:r w:rsidRPr="0095267B">
        <w:rPr>
          <w:lang w:val="it-IT"/>
        </w:rPr>
        <w:t xml:space="preserve"> </w:t>
      </w:r>
      <w:r>
        <w:rPr>
          <w:lang w:val="it-IT"/>
        </w:rPr>
        <w:t>учесталости</w:t>
      </w:r>
      <w:r w:rsidRPr="0095267B">
        <w:rPr>
          <w:lang w:val="it-IT"/>
        </w:rPr>
        <w:t xml:space="preserve">, </w:t>
      </w:r>
      <w:r>
        <w:rPr>
          <w:lang w:val="it-IT"/>
        </w:rPr>
        <w:t>а</w:t>
      </w:r>
      <w:r w:rsidRPr="0095267B">
        <w:rPr>
          <w:lang w:val="it-IT"/>
        </w:rPr>
        <w:t xml:space="preserve"> </w:t>
      </w:r>
      <w:r>
        <w:rPr>
          <w:lang w:val="it-IT"/>
        </w:rPr>
        <w:t>не</w:t>
      </w:r>
      <w:r w:rsidRPr="0095267B">
        <w:rPr>
          <w:lang w:val="it-IT"/>
        </w:rPr>
        <w:t xml:space="preserve"> </w:t>
      </w:r>
      <w:r>
        <w:rPr>
          <w:lang w:val="it-IT"/>
        </w:rPr>
        <w:t>када</w:t>
      </w:r>
      <w:r w:rsidRPr="0095267B">
        <w:rPr>
          <w:lang w:val="it-IT"/>
        </w:rPr>
        <w:t xml:space="preserve"> </w:t>
      </w:r>
      <w:r>
        <w:rPr>
          <w:lang w:val="it-IT"/>
        </w:rPr>
        <w:t>су</w:t>
      </w:r>
      <w:r w:rsidRPr="0095267B">
        <w:rPr>
          <w:lang w:val="it-IT"/>
        </w:rPr>
        <w:t xml:space="preserve"> </w:t>
      </w:r>
      <w:r>
        <w:rPr>
          <w:lang w:val="it-IT"/>
        </w:rPr>
        <w:t>проценти</w:t>
      </w:r>
      <w:r w:rsidRPr="0095267B">
        <w:rPr>
          <w:lang w:val="it-IT"/>
        </w:rPr>
        <w:t xml:space="preserve">, </w:t>
      </w:r>
      <w:r>
        <w:rPr>
          <w:lang w:val="it-IT"/>
        </w:rPr>
        <w:t>пропорције</w:t>
      </w:r>
      <w:r w:rsidRPr="0095267B">
        <w:rPr>
          <w:lang w:val="it-IT"/>
        </w:rPr>
        <w:t xml:space="preserve"> </w:t>
      </w:r>
      <w:r>
        <w:rPr>
          <w:lang w:val="it-IT"/>
        </w:rPr>
        <w:t>или</w:t>
      </w:r>
      <w:r w:rsidRPr="0095267B">
        <w:rPr>
          <w:lang w:val="it-IT"/>
        </w:rPr>
        <w:t xml:space="preserve"> </w:t>
      </w:r>
      <w:r>
        <w:rPr>
          <w:lang w:val="it-IT"/>
        </w:rPr>
        <w:t>мерења</w:t>
      </w:r>
      <w:r>
        <w:rPr>
          <w:lang w:val="sr-Cyrl-CS"/>
        </w:rPr>
        <w:t>.</w:t>
      </w:r>
      <w:bookmarkStart w:id="8" w:name="PG233"/>
      <w:bookmarkEnd w:id="8"/>
    </w:p>
    <w:p w:rsidR="00D8738C" w:rsidRDefault="00D8738C" w:rsidP="00D8738C">
      <w:pPr>
        <w:spacing w:before="0"/>
        <w:rPr>
          <w:rFonts w:cs="Arial"/>
          <w:color w:val="0A0905"/>
          <w:lang w:val="sr-Latn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593"/>
      </w:tblGrid>
      <w:tr w:rsidR="00D8738C" w:rsidRPr="00270855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270855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>3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>П</w:t>
            </w:r>
            <w:r>
              <w:rPr>
                <w:rFonts w:cs="Arial"/>
                <w:lang w:val="it-IT"/>
              </w:rPr>
              <w:t>роцент</w:t>
            </w:r>
            <w:r>
              <w:rPr>
                <w:rFonts w:cs="Arial"/>
                <w:lang w:val="sr-Cyrl-CS"/>
              </w:rPr>
              <w:t>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т</w:t>
            </w:r>
            <w:r>
              <w:rPr>
                <w:rFonts w:cs="Arial"/>
                <w:lang w:val="it-IT"/>
              </w:rPr>
              <w:t>ачке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 xml:space="preserve">Хи-квадрат 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расподеле</w:t>
            </w:r>
          </w:p>
        </w:tc>
      </w:tr>
      <w:tr w:rsidR="00D8738C" w:rsidRPr="00270855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877"/>
              <w:gridCol w:w="1594"/>
              <w:gridCol w:w="1594"/>
              <w:gridCol w:w="1594"/>
              <w:gridCol w:w="1594"/>
            </w:tblGrid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Степени слободе</w:t>
                  </w:r>
                </w:p>
              </w:tc>
              <w:tc>
                <w:tcPr>
                  <w:tcW w:w="0" w:type="auto"/>
                  <w:gridSpan w:val="4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Вероватноћа да је табеларна вредност прекорачена </w:t>
                  </w: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Слика</w:t>
                  </w: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10.</w:t>
                  </w: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1)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10%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5%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1%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0.1%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lastRenderedPageBreak/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2.71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3.84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6.63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10.83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4.61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5.99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9.21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13.82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6.25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7.81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11.34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16.27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9.49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18.47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9.24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11.07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20.52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10.64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12.59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16.81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22.46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12.02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24.32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15.51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20.09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26.13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14.68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16.92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21.67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27.88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15.99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18.31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23.21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29.59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17.28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19.68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24.73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31.26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18.55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21.03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26.22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32.91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19.81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22.36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27.69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34.53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21.06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23.68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29.14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36.12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22.31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25.00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30.58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37.70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23.54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26.30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32.00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39.25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24.77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27.59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33.41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40.79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25.99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28.87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34.81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42.31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30.14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36.19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43.82</w:t>
                  </w:r>
                </w:p>
              </w:tc>
            </w:tr>
            <w:tr w:rsidR="00D8738C" w:rsidRPr="00270855">
              <w:trPr>
                <w:trHeight w:hRule="exact" w:val="397"/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28.41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31.41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37.57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45.32</w:t>
                  </w:r>
                </w:p>
              </w:tc>
            </w:tr>
          </w:tbl>
          <w:p w:rsidR="00D8738C" w:rsidRPr="00270855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</w:p>
        </w:tc>
      </w:tr>
    </w:tbl>
    <w:p w:rsidR="00D8738C" w:rsidRPr="00443365" w:rsidRDefault="00D8738C" w:rsidP="00D8738C">
      <w:pPr>
        <w:pStyle w:val="Heading3"/>
        <w:rPr>
          <w:lang w:val="sr-Latn-CS" w:eastAsia="sr-Latn-CS"/>
        </w:rPr>
      </w:pPr>
      <w:bookmarkStart w:id="9" w:name="_Toc261679004"/>
      <w:bookmarkStart w:id="10" w:name="_Toc278621240"/>
      <w:bookmarkStart w:id="11" w:name="_Toc529202167"/>
      <w:r w:rsidRPr="00443365">
        <w:rPr>
          <w:lang w:val="sr-Latn-CS" w:eastAsia="sr-Latn-CS"/>
        </w:rPr>
        <w:lastRenderedPageBreak/>
        <w:t xml:space="preserve">10.2 </w:t>
      </w:r>
      <w:bookmarkEnd w:id="9"/>
      <w:r w:rsidRPr="00562BCE">
        <w:rPr>
          <w:lang w:eastAsia="sr-Latn-CS"/>
        </w:rPr>
        <w:t>Тестови</w:t>
      </w:r>
      <w:r w:rsidRPr="00443365">
        <w:rPr>
          <w:lang w:val="sr-Latn-CS" w:eastAsia="sr-Latn-CS"/>
        </w:rPr>
        <w:t xml:space="preserve"> </w:t>
      </w:r>
      <w:r w:rsidRPr="00562BCE">
        <w:rPr>
          <w:lang w:eastAsia="sr-Latn-CS"/>
        </w:rPr>
        <w:t>за</w:t>
      </w:r>
      <w:r w:rsidRPr="00443365">
        <w:rPr>
          <w:lang w:val="sr-Latn-CS" w:eastAsia="sr-Latn-CS"/>
        </w:rPr>
        <w:t xml:space="preserve"> 2 </w:t>
      </w:r>
      <w:r>
        <w:rPr>
          <w:lang w:val="sr-Cyrl-CS" w:eastAsia="sr-Latn-CS"/>
        </w:rPr>
        <w:t>пута</w:t>
      </w:r>
      <w:r w:rsidRPr="00443365">
        <w:rPr>
          <w:lang w:val="sr-Latn-CS" w:eastAsia="sr-Latn-CS"/>
        </w:rPr>
        <w:t xml:space="preserve"> 2 </w:t>
      </w:r>
      <w:r w:rsidRPr="00562BCE">
        <w:rPr>
          <w:lang w:eastAsia="sr-Latn-CS"/>
        </w:rPr>
        <w:t>табеле</w:t>
      </w:r>
      <w:bookmarkEnd w:id="10"/>
      <w:bookmarkEnd w:id="11"/>
    </w:p>
    <w:p w:rsidR="00D8738C" w:rsidRPr="00156D70" w:rsidRDefault="00D8738C" w:rsidP="00D8738C">
      <w:pPr>
        <w:spacing w:before="0" w:after="1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Размотрите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симптому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кашља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историји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бронхитиса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 чему смо </w:t>
      </w:r>
      <w:r>
        <w:rPr>
          <w:rFonts w:cs="Arial"/>
          <w:lang w:val="it-IT" w:eastAsia="sr-Latn-CS"/>
        </w:rPr>
        <w:t>расправљ</w:t>
      </w:r>
      <w:r>
        <w:rPr>
          <w:rFonts w:cs="Arial"/>
          <w:lang w:val="sr-Cyrl-CS" w:eastAsia="sr-Latn-CS"/>
        </w:rPr>
        <w:t>али у делу 6.8.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273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историјом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бронхитиса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26 </w:t>
      </w:r>
      <w:r>
        <w:rPr>
          <w:rFonts w:cs="Arial"/>
          <w:lang w:val="it-IT" w:eastAsia="sr-Latn-CS"/>
        </w:rPr>
        <w:t>пријављено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дневни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ноћни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кашаљ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1046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без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историје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бронхитиса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44 </w:t>
      </w:r>
      <w:r>
        <w:rPr>
          <w:rFonts w:cs="Arial"/>
          <w:lang w:val="it-IT" w:eastAsia="sr-Latn-CS"/>
        </w:rPr>
        <w:t>пријављено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lastRenderedPageBreak/>
        <w:t>дневни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ноћни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кашаљ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представити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контигенције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што је приказано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10.4.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034"/>
      </w:tblGrid>
      <w:tr w:rsidR="00D8738C" w:rsidRPr="002867F6">
        <w:trPr>
          <w:tblCellSpacing w:w="0" w:type="dxa"/>
          <w:jc w:val="center"/>
        </w:trPr>
        <w:tc>
          <w:tcPr>
            <w:tcW w:w="7944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2867F6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>4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Кашаљ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током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дана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или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током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ноћи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код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деце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старости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од</w:t>
            </w:r>
            <w:r w:rsidRPr="0095267B">
              <w:rPr>
                <w:rFonts w:cs="Arial"/>
                <w:lang w:val="it-IT"/>
              </w:rPr>
              <w:t xml:space="preserve"> 14 </w:t>
            </w:r>
            <w:r>
              <w:rPr>
                <w:rFonts w:cs="Arial"/>
                <w:lang w:val="it-IT"/>
              </w:rPr>
              <w:t>година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без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историје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бронхитиса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пре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узраста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од</w:t>
            </w:r>
            <w:r w:rsidRPr="0095267B">
              <w:rPr>
                <w:rFonts w:cs="Arial"/>
                <w:lang w:val="it-IT"/>
              </w:rPr>
              <w:t xml:space="preserve"> 5 </w:t>
            </w:r>
            <w:r>
              <w:rPr>
                <w:rFonts w:cs="Arial"/>
                <w:lang w:val="it-IT"/>
              </w:rPr>
              <w:t>година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 xml:space="preserve">(Holland </w:t>
            </w:r>
            <w:r>
              <w:rPr>
                <w:rFonts w:cs="Arial"/>
                <w:bCs/>
                <w:i/>
                <w:iCs/>
                <w:color w:val="0A0905"/>
                <w:lang w:val="sr-Latn-CS" w:eastAsia="sr-Latn-CS"/>
              </w:rPr>
              <w:t>и други</w:t>
            </w:r>
            <w:r w:rsidRPr="002867F6">
              <w:rPr>
                <w:rFonts w:cs="Arial"/>
                <w:bCs/>
                <w:color w:val="0A0905"/>
                <w:lang w:val="sr-Latn-CS" w:eastAsia="sr-Latn-CS"/>
              </w:rPr>
              <w:t xml:space="preserve"> 1978)</w:t>
            </w:r>
          </w:p>
        </w:tc>
      </w:tr>
      <w:tr w:rsidR="00D8738C" w:rsidRPr="002867F6">
        <w:trPr>
          <w:trHeight w:val="2535"/>
          <w:tblCellSpacing w:w="0" w:type="dxa"/>
          <w:jc w:val="center"/>
        </w:trPr>
        <w:tc>
          <w:tcPr>
            <w:tcW w:w="7944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7568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205"/>
              <w:gridCol w:w="1580"/>
              <w:gridCol w:w="1843"/>
              <w:gridCol w:w="1940"/>
            </w:tblGrid>
            <w:tr w:rsidR="00D8738C" w:rsidRPr="002867F6">
              <w:trPr>
                <w:tblCellSpacing w:w="0" w:type="dxa"/>
              </w:trPr>
              <w:tc>
                <w:tcPr>
                  <w:tcW w:w="2205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58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Бронхитис</w:t>
                  </w:r>
                </w:p>
              </w:tc>
              <w:tc>
                <w:tcPr>
                  <w:tcW w:w="1843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Нема Б</w:t>
                  </w: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ронхитис</w:t>
                  </w:r>
                </w:p>
              </w:tc>
              <w:tc>
                <w:tcPr>
                  <w:tcW w:w="194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2867F6">
              <w:trPr>
                <w:tblCellSpacing w:w="0" w:type="dxa"/>
              </w:trPr>
              <w:tc>
                <w:tcPr>
                  <w:tcW w:w="22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Кашаљ</w:t>
                  </w:r>
                </w:p>
              </w:tc>
              <w:tc>
                <w:tcPr>
                  <w:tcW w:w="15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26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19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70</w:t>
                  </w:r>
                </w:p>
              </w:tc>
            </w:tr>
            <w:tr w:rsidR="00D8738C" w:rsidRPr="002867F6">
              <w:trPr>
                <w:tblCellSpacing w:w="0" w:type="dxa"/>
              </w:trPr>
              <w:tc>
                <w:tcPr>
                  <w:tcW w:w="22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Нема кашља </w:t>
                  </w:r>
                </w:p>
              </w:tc>
              <w:tc>
                <w:tcPr>
                  <w:tcW w:w="15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247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1002</w:t>
                  </w:r>
                </w:p>
              </w:tc>
              <w:tc>
                <w:tcPr>
                  <w:tcW w:w="19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1249</w:t>
                  </w:r>
                </w:p>
              </w:tc>
            </w:tr>
            <w:tr w:rsidR="00D8738C" w:rsidRPr="002867F6">
              <w:trPr>
                <w:tblCellSpacing w:w="0" w:type="dxa"/>
              </w:trPr>
              <w:tc>
                <w:tcPr>
                  <w:tcW w:w="2205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15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273</w:t>
                  </w:r>
                </w:p>
              </w:tc>
              <w:tc>
                <w:tcPr>
                  <w:tcW w:w="1843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1046</w:t>
                  </w:r>
                </w:p>
              </w:tc>
              <w:tc>
                <w:tcPr>
                  <w:tcW w:w="194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867F6">
                    <w:rPr>
                      <w:rFonts w:cs="Arial"/>
                      <w:color w:val="0A0905"/>
                      <w:lang w:val="sr-Latn-CS" w:eastAsia="sr-Latn-CS"/>
                    </w:rPr>
                    <w:t>1319</w:t>
                  </w:r>
                </w:p>
              </w:tc>
            </w:tr>
          </w:tbl>
          <w:p w:rsidR="00D8738C" w:rsidRPr="002867F6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ind w:firstLine="567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хи-квадрат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</w:t>
      </w:r>
      <w:r>
        <w:rPr>
          <w:rFonts w:cs="Arial"/>
          <w:lang w:val="sr-Cyrl-CS" w:eastAsia="sr-Latn-CS"/>
        </w:rPr>
        <w:t>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нема </w:t>
      </w:r>
      <w:r>
        <w:rPr>
          <w:rFonts w:cs="Arial"/>
          <w:lang w:val="it-IT" w:eastAsia="sr-Latn-CS"/>
        </w:rPr>
        <w:t>повезаности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каш</w:t>
      </w:r>
      <w:r>
        <w:rPr>
          <w:rFonts w:cs="Arial"/>
          <w:lang w:val="sr-Cyrl-CS" w:eastAsia="sr-Latn-CS"/>
        </w:rPr>
        <w:t>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историје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/>
        </w:rPr>
        <w:t>бронхитиса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чекиване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10.</w:t>
      </w:r>
      <w:r w:rsidRPr="0095267B">
        <w:rPr>
          <w:rFonts w:cs="Arial"/>
          <w:lang w:val="it-IT" w:eastAsia="sr-Latn-CS"/>
        </w:rPr>
        <w:t xml:space="preserve">5.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</w:p>
    <w:p w:rsidR="00D8738C" w:rsidRPr="0095267B" w:rsidRDefault="00D8738C" w:rsidP="00D8738C">
      <w:pPr>
        <w:pStyle w:val="Equation1"/>
      </w:pPr>
      <w:r w:rsidRPr="00F40DEB">
        <w:rPr>
          <w:position w:val="-20"/>
        </w:rPr>
        <w:object w:dxaOrig="7720" w:dyaOrig="580">
          <v:shape id="_x0000_i1032" type="#_x0000_t75" style="width:386.5pt;height:28.2pt" o:ole="">
            <v:imagedata r:id="rId23" o:title=""/>
          </v:shape>
          <o:OLEObject Type="Embed" ProgID="Equation.3" ShapeID="_x0000_i1032" DrawAspect="Content" ObjectID="_1602945741" r:id="rId24"/>
        </w:object>
      </w:r>
    </w:p>
    <w:p w:rsidR="00D8738C" w:rsidRPr="00F40DEB" w:rsidRDefault="00D8738C" w:rsidP="00D8738C">
      <w:pPr>
        <w:spacing w:before="0"/>
        <w:rPr>
          <w:rFonts w:cs="Arial"/>
          <w:lang w:val="sr-Cyrl-CS" w:eastAsia="sr-Latn-CS"/>
        </w:rPr>
      </w:pPr>
    </w:p>
    <w:p w:rsidR="00D8738C" w:rsidRDefault="00D8738C" w:rsidP="00F71CDF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Имамо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 xml:space="preserve">= 2 </w:t>
      </w:r>
      <w:r>
        <w:rPr>
          <w:rFonts w:cs="Arial"/>
          <w:lang w:val="it-IT"/>
        </w:rPr>
        <w:t>редов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 xml:space="preserve">= 2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 w:rsidRPr="004A0AF4">
        <w:rPr>
          <w:rFonts w:cs="Arial"/>
          <w:position w:val="-10"/>
          <w:lang w:val="it-IT"/>
        </w:rPr>
        <w:object w:dxaOrig="2720" w:dyaOrig="300">
          <v:shape id="_x0000_i1033" type="#_x0000_t75" style="width:135.95pt;height:15pt" o:ole="">
            <v:imagedata r:id="rId25" o:title=""/>
          </v:shape>
          <o:OLEObject Type="Embed" ProgID="Equation.3" ShapeID="_x0000_i1033" DrawAspect="Content" ObjectID="_1602945742" r:id="rId26"/>
        </w:object>
      </w:r>
      <w:r>
        <w:rPr>
          <w:rFonts w:cs="Arial"/>
          <w:lang w:val="it-IT"/>
        </w:rPr>
        <w:t>степен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Видимо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3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5% </w:t>
      </w:r>
      <w:r>
        <w:rPr>
          <w:rFonts w:cs="Arial"/>
          <w:lang w:val="it-IT"/>
        </w:rPr>
        <w:t>тачка</w:t>
      </w:r>
      <w:r>
        <w:rPr>
          <w:rFonts w:cs="Arial"/>
          <w:lang w:val="sr-Cyrl-CS"/>
        </w:rPr>
        <w:t xml:space="preserve"> је</w:t>
      </w:r>
      <w:r w:rsidRPr="0095267B">
        <w:rPr>
          <w:rFonts w:cs="Arial"/>
          <w:lang w:val="it-IT"/>
        </w:rPr>
        <w:t xml:space="preserve"> 3.84,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1% </w:t>
      </w:r>
      <w:r>
        <w:rPr>
          <w:rFonts w:cs="Arial"/>
          <w:lang w:val="it-IT"/>
        </w:rPr>
        <w:t>тачка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је </w:t>
      </w:r>
      <w:r w:rsidRPr="0095267B">
        <w:rPr>
          <w:rFonts w:cs="Arial"/>
          <w:lang w:val="it-IT"/>
        </w:rPr>
        <w:t xml:space="preserve">6.63,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запазили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Стога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одбацујемо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да нема 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закључујемо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постојећег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кашља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историје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бронхитиса</w:t>
      </w:r>
      <w:r w:rsidRPr="0095267B">
        <w:rPr>
          <w:rFonts w:cs="Arial"/>
          <w:lang w:val="it-IT"/>
        </w:rPr>
        <w:t>.</w:t>
      </w:r>
    </w:p>
    <w:p w:rsidR="00877034" w:rsidRPr="00197429" w:rsidRDefault="00877034" w:rsidP="00877034">
      <w:pPr>
        <w:spacing w:before="0"/>
        <w:ind w:firstLine="720"/>
        <w:rPr>
          <w:rFonts w:cs="Arial"/>
          <w:lang w:val="sr-Latn-CS"/>
        </w:rPr>
      </w:pP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''</w:t>
      </w: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кашља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бронхитиса</w:t>
      </w:r>
      <w:r>
        <w:rPr>
          <w:rFonts w:cs="Arial"/>
          <w:lang w:val="sr-Cyrl-CS"/>
        </w:rPr>
        <w:t>''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''</w:t>
      </w: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пропорција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са </w:t>
      </w:r>
      <w:r>
        <w:rPr>
          <w:rFonts w:cs="Arial"/>
          <w:lang w:val="it-IT"/>
        </w:rPr>
        <w:t>кашљем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бронх</w:t>
      </w:r>
      <w:r>
        <w:rPr>
          <w:rFonts w:cs="Arial"/>
          <w:lang w:val="sr-Cyrl-CS"/>
        </w:rPr>
        <w:t>итисом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без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бронхитиса</w:t>
      </w:r>
      <w:r>
        <w:rPr>
          <w:rFonts w:cs="Arial"/>
          <w:lang w:val="sr-Cyrl-CS"/>
        </w:rPr>
        <w:t>''.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променљиве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различита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ствари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потпуно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еквивалентни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узмемо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Нормално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одступање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у делу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 xml:space="preserve">.8,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3.49,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ставимо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квадрат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добили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би вредност од</w:t>
      </w:r>
      <w:r w:rsidRPr="0095267B">
        <w:rPr>
          <w:rFonts w:cs="Arial"/>
          <w:lang w:val="it-IT"/>
        </w:rPr>
        <w:t xml:space="preserve"> 12.2,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Метод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из дела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 xml:space="preserve">.8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дела 5</w:t>
      </w:r>
      <w:r w:rsidRPr="0095267B">
        <w:rPr>
          <w:rFonts w:cs="Arial"/>
          <w:lang w:val="it-IT"/>
        </w:rPr>
        <w:t xml:space="preserve">.6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интервал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поверења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 метод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братите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пажњу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одговара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двостраном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i/>
          <w:lang w:val="it-IT"/>
        </w:rPr>
        <w:t>z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коришћен</w:t>
      </w:r>
      <w:r>
        <w:rPr>
          <w:rFonts w:cs="Arial"/>
          <w:lang w:val="it-IT"/>
        </w:rPr>
        <w:t xml:space="preserve"> 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горњи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задњи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 xml:space="preserve">хи-квадрат 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>.</w:t>
      </w:r>
    </w:p>
    <w:p w:rsidR="00877034" w:rsidRDefault="00877034" w:rsidP="00D8738C">
      <w:pPr>
        <w:spacing w:before="0" w:after="120"/>
        <w:ind w:firstLine="720"/>
        <w:rPr>
          <w:rFonts w:cs="Arial"/>
          <w:lang w:val="sr-Cyrl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324"/>
      </w:tblGrid>
      <w:tr w:rsidR="00D8738C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982D0A" w:rsidRDefault="00D8738C" w:rsidP="00D35809">
            <w:pPr>
              <w:spacing w:before="0"/>
              <w:rPr>
                <w:rFonts w:cs="Arial"/>
                <w:lang w:val="sr-Cyrl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5. </w:t>
            </w:r>
            <w:r w:rsidRPr="0095267B">
              <w:rPr>
                <w:rFonts w:cs="Arial"/>
                <w:lang w:val="it-IT"/>
              </w:rPr>
              <w:t>O</w:t>
            </w:r>
            <w:r>
              <w:rPr>
                <w:rFonts w:cs="Arial"/>
                <w:lang w:val="it-IT"/>
              </w:rPr>
              <w:t>чекиване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учесталости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10.</w:t>
            </w:r>
            <w:r w:rsidRPr="0095267B">
              <w:rPr>
                <w:rFonts w:cs="Arial"/>
                <w:lang w:val="it-IT"/>
              </w:rPr>
              <w:t>4</w:t>
            </w:r>
          </w:p>
        </w:tc>
      </w:tr>
      <w:tr w:rsidR="00D8738C" w:rsidRPr="000C6780">
        <w:trPr>
          <w:trHeight w:val="255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608"/>
              <w:gridCol w:w="1230"/>
              <w:gridCol w:w="1901"/>
              <w:gridCol w:w="1119"/>
            </w:tblGrid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Бронхитис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1E1C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Нема </w:t>
                  </w: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Бронхитис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Кашаљ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14.49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55.51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70.00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 xml:space="preserve">Нема кашља 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258.51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990.49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1249.00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867F6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273.00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1046.00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1319.00</w:t>
                  </w:r>
                </w:p>
              </w:tc>
            </w:tr>
          </w:tbl>
          <w:p w:rsidR="00D8738C" w:rsidRPr="00270855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ind w:firstLine="720"/>
        <w:rPr>
          <w:rFonts w:cs="Arial"/>
        </w:rPr>
      </w:pPr>
      <w:bookmarkStart w:id="12" w:name="_Toc261679005"/>
    </w:p>
    <w:p w:rsidR="00D97167" w:rsidRDefault="00D97167" w:rsidP="00D8738C">
      <w:pPr>
        <w:spacing w:before="0"/>
        <w:ind w:firstLine="720"/>
        <w:rPr>
          <w:rFonts w:cs="Arial"/>
        </w:rPr>
      </w:pPr>
    </w:p>
    <w:p w:rsidR="00D762D2" w:rsidRDefault="00D762D2" w:rsidP="00D8738C">
      <w:pPr>
        <w:spacing w:before="0"/>
        <w:ind w:firstLine="720"/>
        <w:rPr>
          <w:rFonts w:cs="Arial"/>
        </w:rPr>
      </w:pPr>
    </w:p>
    <w:p w:rsidR="00D17557" w:rsidRDefault="00D17557" w:rsidP="00D8738C">
      <w:pPr>
        <w:spacing w:before="0"/>
        <w:ind w:firstLine="720"/>
        <w:rPr>
          <w:rFonts w:cs="Arial"/>
        </w:rPr>
      </w:pPr>
    </w:p>
    <w:p w:rsidR="00D762D2" w:rsidRPr="00D762D2" w:rsidRDefault="00D762D2" w:rsidP="00D8738C">
      <w:pPr>
        <w:spacing w:before="0"/>
        <w:ind w:firstLine="720"/>
        <w:rPr>
          <w:rFonts w:cs="Arial"/>
        </w:rPr>
      </w:pPr>
    </w:p>
    <w:p w:rsidR="00D8738C" w:rsidRPr="00297C3D" w:rsidRDefault="00D8738C" w:rsidP="00D8738C">
      <w:pPr>
        <w:pStyle w:val="Heading3"/>
        <w:rPr>
          <w:lang w:val="it-IT" w:eastAsia="sr-Latn-CS"/>
        </w:rPr>
      </w:pPr>
      <w:bookmarkStart w:id="13" w:name="_Toc278621241"/>
      <w:bookmarkStart w:id="14" w:name="_Toc529202168"/>
      <w:r>
        <w:rPr>
          <w:lang w:val="it-IT" w:eastAsia="sr-Latn-CS"/>
        </w:rPr>
        <w:t>10.</w:t>
      </w:r>
      <w:r w:rsidRPr="00297C3D">
        <w:rPr>
          <w:lang w:val="it-IT" w:eastAsia="sr-Latn-CS"/>
        </w:rPr>
        <w:t xml:space="preserve">3 </w:t>
      </w:r>
      <w:bookmarkEnd w:id="12"/>
      <w:r>
        <w:rPr>
          <w:lang w:val="sr-Latn-CS" w:eastAsia="sr-Latn-CS"/>
        </w:rPr>
        <w:t xml:space="preserve">Хи-квадрат </w:t>
      </w:r>
      <w:r w:rsidRPr="00297C3D">
        <w:rPr>
          <w:lang w:val="it-IT" w:eastAsia="sr-Latn-CS"/>
        </w:rPr>
        <w:t xml:space="preserve"> </w:t>
      </w:r>
      <w:r w:rsidRPr="002730D9">
        <w:rPr>
          <w:lang w:eastAsia="sr-Latn-CS"/>
        </w:rPr>
        <w:t>тест</w:t>
      </w:r>
      <w:r w:rsidRPr="00297C3D">
        <w:rPr>
          <w:lang w:val="it-IT" w:eastAsia="sr-Latn-CS"/>
        </w:rPr>
        <w:t xml:space="preserve"> </w:t>
      </w:r>
      <w:r w:rsidRPr="002730D9">
        <w:rPr>
          <w:lang w:eastAsia="sr-Latn-CS"/>
        </w:rPr>
        <w:t>за</w:t>
      </w:r>
      <w:r w:rsidRPr="00297C3D">
        <w:rPr>
          <w:lang w:val="it-IT" w:eastAsia="sr-Latn-CS"/>
        </w:rPr>
        <w:t xml:space="preserve"> </w:t>
      </w:r>
      <w:r w:rsidRPr="002730D9">
        <w:rPr>
          <w:lang w:eastAsia="sr-Latn-CS"/>
        </w:rPr>
        <w:t>мале</w:t>
      </w:r>
      <w:r w:rsidRPr="00297C3D">
        <w:rPr>
          <w:lang w:val="it-IT" w:eastAsia="sr-Latn-CS"/>
        </w:rPr>
        <w:t xml:space="preserve"> </w:t>
      </w:r>
      <w:r w:rsidRPr="002730D9">
        <w:rPr>
          <w:lang w:eastAsia="sr-Latn-CS"/>
        </w:rPr>
        <w:t>узорке</w:t>
      </w:r>
      <w:bookmarkEnd w:id="13"/>
      <w:bookmarkEnd w:id="14"/>
    </w:p>
    <w:p w:rsidR="00D8738C" w:rsidRPr="0095267B" w:rsidRDefault="00D8738C" w:rsidP="00D8738C">
      <w:pPr>
        <w:spacing w:before="0"/>
        <w:rPr>
          <w:rFonts w:cs="Arial"/>
          <w:lang w:val="it-IT"/>
        </w:rPr>
      </w:pP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статистика</w:t>
      </w:r>
      <w:r>
        <w:rPr>
          <w:rFonts w:cs="Arial"/>
          <w:lang w:val="sr-Cyrl-CS"/>
        </w:rPr>
        <w:t xml:space="preserve"> </w:t>
      </w:r>
      <w:r w:rsidRPr="00F918C9">
        <w:rPr>
          <w:rFonts w:cs="Arial"/>
          <w:position w:val="-14"/>
          <w:lang w:val="sr-Cyrl-CS"/>
        </w:rPr>
        <w:object w:dxaOrig="1260" w:dyaOrig="380">
          <v:shape id="_x0000_i1034" type="#_x0000_t75" style="width:63.95pt;height:19pt" o:ole="">
            <v:imagedata r:id="rId27" o:title=""/>
          </v:shape>
          <o:OLEObject Type="Embed" ProgID="Equation.3" ShapeID="_x0000_i1034" DrawAspect="Content" ObjectID="_1602945743" r:id="rId28"/>
        </w:objec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 w:rsidRPr="00327977">
        <w:rPr>
          <w:rFonts w:cs="Arial"/>
          <w:lang w:val="it-IT"/>
        </w:rPr>
        <w:t>назвати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b/>
          <w:lang w:val="it-IT"/>
        </w:rPr>
        <w:t>хи-квадрат статистика</w:t>
      </w:r>
      <w:r>
        <w:rPr>
          <w:rFonts w:cs="Arial"/>
          <w:lang w:val="sr-Cyrl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chi-squared statistic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следи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 расподелу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довољно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</w:t>
      </w:r>
      <w:r>
        <w:rPr>
          <w:rFonts w:cs="Arial"/>
          <w:lang w:val="sr-Cyrl-CS"/>
        </w:rPr>
        <w:t>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дела 6</w:t>
      </w:r>
      <w:r w:rsidRPr="0095267B">
        <w:rPr>
          <w:rFonts w:cs="Arial"/>
          <w:lang w:val="it-IT"/>
        </w:rPr>
        <w:t xml:space="preserve">.7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6</w:t>
      </w:r>
      <w:r w:rsidRPr="0095267B">
        <w:rPr>
          <w:rFonts w:cs="Arial"/>
          <w:lang w:val="it-IT"/>
        </w:rPr>
        <w:t xml:space="preserve">.8.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постану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>
        <w:rPr>
          <w:rFonts w:cs="Arial"/>
          <w:lang w:val="sr-Cyrl-CS"/>
        </w:rPr>
        <w:t>,</w:t>
      </w:r>
      <w:r>
        <w:rPr>
          <w:rFonts w:cs="Arial"/>
          <w:lang w:val="it-IT"/>
        </w:rPr>
        <w:t xml:space="preserve"> 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897FBC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двосмисленији</w:t>
      </w:r>
      <w:r w:rsidRPr="0095267B">
        <w:rPr>
          <w:rFonts w:cs="Arial"/>
          <w:lang w:val="it-IT"/>
        </w:rPr>
        <w:t>.</w:t>
      </w:r>
    </w:p>
    <w:p w:rsidR="00D8738C" w:rsidRPr="0095267B" w:rsidRDefault="00D8738C" w:rsidP="00D8738C">
      <w:pPr>
        <w:spacing w:before="0"/>
        <w:ind w:firstLine="720"/>
        <w:rPr>
          <w:rFonts w:cs="Arial"/>
          <w:lang w:val="it-IT"/>
        </w:rPr>
      </w:pPr>
      <w:r w:rsidRPr="0095267B">
        <w:rPr>
          <w:rFonts w:cs="Arial"/>
          <w:lang w:val="it-IT"/>
        </w:rPr>
        <w:t>O</w:t>
      </w:r>
      <w:r>
        <w:rPr>
          <w:rFonts w:cs="Arial"/>
          <w:lang w:val="it-IT"/>
        </w:rPr>
        <w:t>пштепризнати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критеријум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веродостојност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приписује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статистичару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W.G. Cochran</w:t>
      </w:r>
      <w:r>
        <w:rPr>
          <w:rFonts w:cs="Arial"/>
          <w:color w:val="0A0905"/>
          <w:lang w:val="sr-Cyrl-CS" w:eastAsia="sr-Latn-CS"/>
        </w:rPr>
        <w:t>-у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Правило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следеће</w:t>
      </w:r>
      <w:r w:rsidRPr="0095267B">
        <w:rPr>
          <w:rFonts w:cs="Arial"/>
          <w:lang w:val="it-IT"/>
        </w:rPr>
        <w:t xml:space="preserve">: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важећи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најмање</w:t>
      </w:r>
      <w:r w:rsidRPr="0095267B">
        <w:rPr>
          <w:rFonts w:cs="Arial"/>
          <w:lang w:val="it-IT"/>
        </w:rPr>
        <w:t xml:space="preserve"> 80%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прелази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прелазе</w:t>
      </w:r>
      <w:r w:rsidRPr="0095267B">
        <w:rPr>
          <w:rFonts w:cs="Arial"/>
          <w:lang w:val="it-IT"/>
        </w:rPr>
        <w:t xml:space="preserve"> 1.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видети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2 </w:t>
      </w:r>
      <w:r>
        <w:rPr>
          <w:rFonts w:cs="Arial"/>
          <w:lang w:val="it-IT"/>
        </w:rPr>
        <w:t>задовољава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будући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су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2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10 </w:t>
      </w:r>
      <w:r>
        <w:rPr>
          <w:rFonts w:cs="Arial"/>
          <w:lang w:val="it-IT"/>
        </w:rPr>
        <w:t>очекиваних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>
        <w:rPr>
          <w:rFonts w:cs="Arial"/>
          <w:lang w:val="sr-Cyrl-CS"/>
        </w:rPr>
        <w:t xml:space="preserve"> изван</w:t>
      </w:r>
      <w:r w:rsidRPr="0095267B">
        <w:rPr>
          <w:rFonts w:cs="Arial"/>
          <w:lang w:val="it-IT"/>
        </w:rPr>
        <w:t xml:space="preserve">, 20%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ниједна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1. O</w:t>
      </w:r>
      <w:r>
        <w:rPr>
          <w:rFonts w:cs="Arial"/>
          <w:lang w:val="it-IT"/>
        </w:rPr>
        <w:t>братите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пажњу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примењује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 xml:space="preserve">а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Сасвим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прихватљиво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посматрана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буде</w:t>
      </w:r>
      <w:r w:rsidRPr="0095267B">
        <w:rPr>
          <w:rFonts w:cs="Arial"/>
          <w:lang w:val="it-IT"/>
        </w:rPr>
        <w:t xml:space="preserve"> 0, </w:t>
      </w:r>
      <w:r>
        <w:rPr>
          <w:rFonts w:cs="Arial"/>
          <w:lang w:val="it-IT"/>
        </w:rPr>
        <w:t>под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условом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испуњавају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критеријум</w:t>
      </w:r>
      <w:r w:rsidRPr="0095267B">
        <w:rPr>
          <w:rFonts w:cs="Arial"/>
          <w:lang w:val="it-IT"/>
        </w:rPr>
        <w:t>.</w:t>
      </w:r>
    </w:p>
    <w:p w:rsidR="00D8738C" w:rsidRPr="00096862" w:rsidRDefault="00D8738C" w:rsidP="00D8738C">
      <w:pPr>
        <w:spacing w:before="0" w:after="120"/>
        <w:ind w:firstLine="720"/>
        <w:rPr>
          <w:rFonts w:cs="Arial"/>
          <w:lang w:val="sr-Cyrl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D8738C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525A4E" w:rsidRDefault="00D8738C" w:rsidP="00D35809">
            <w:pPr>
              <w:spacing w:before="0"/>
              <w:rPr>
                <w:rFonts w:cs="Arial"/>
                <w:bCs/>
                <w:color w:val="0A0905"/>
                <w:lang w:val="sr-Cyrl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6. </w:t>
            </w:r>
            <w:r>
              <w:rPr>
                <w:rFonts w:cs="Arial"/>
                <w:lang w:val="it-IT"/>
              </w:rPr>
              <w:t>Посматране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очекиване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учесталости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категорија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радиолошке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појаве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шест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месеци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поређењу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појавом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уласку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М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 xml:space="preserve">RC </w:t>
            </w:r>
            <w:r>
              <w:rPr>
                <w:rFonts w:cs="Arial"/>
                <w:lang w:val="it-IT"/>
              </w:rPr>
              <w:t>пробно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тестирање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стрептомицина</w:t>
            </w:r>
            <w:r w:rsidRPr="0095267B">
              <w:rPr>
                <w:rFonts w:cs="Arial"/>
                <w:lang w:val="it-IT"/>
              </w:rPr>
              <w:t xml:space="preserve">, </w:t>
            </w:r>
            <w:r>
              <w:rPr>
                <w:rFonts w:cs="Arial"/>
                <w:lang w:val="it-IT"/>
              </w:rPr>
              <w:t>пацијенти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са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почетном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температуром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од</w:t>
            </w:r>
            <w:r w:rsidRPr="0095267B">
              <w:rPr>
                <w:rFonts w:cs="Arial"/>
                <w:lang w:val="it-IT"/>
              </w:rPr>
              <w:t xml:space="preserve"> 100 - 100.9 </w:t>
            </w:r>
            <w:r w:rsidRPr="00270855">
              <w:rPr>
                <w:rFonts w:cs="Arial"/>
                <w:bCs/>
                <w:color w:val="0A0905"/>
                <w:lang w:val="sr-Latn-CS" w:eastAsia="sr-Latn-CS"/>
              </w:rPr>
              <w:t>°F</w:t>
            </w:r>
          </w:p>
        </w:tc>
      </w:tr>
      <w:tr w:rsidR="00D8738C" w:rsidRPr="000C6780">
        <w:trPr>
          <w:trHeight w:val="88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166"/>
              <w:gridCol w:w="1536"/>
              <w:gridCol w:w="1406"/>
              <w:gridCol w:w="1536"/>
              <w:gridCol w:w="1406"/>
              <w:gridCol w:w="895"/>
            </w:tblGrid>
            <w:tr w:rsidR="00D8738C" w:rsidRPr="00270855">
              <w:trPr>
                <w:trHeight w:val="627"/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Радиолошка процена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Стрептомицин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Контролисани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Посматрано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Очекивано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Посматрано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Очекивано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Побољшање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8.4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Погоршање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4.8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9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Смрт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2.3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2.7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</w:tr>
            <w:tr w:rsidR="00D8738C" w:rsidRPr="00270855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270855">
                    <w:rPr>
                      <w:rFonts w:cs="Arial"/>
                      <w:color w:val="0A0905"/>
                      <w:lang w:val="sr-Latn-CS" w:eastAsia="sr-Latn-CS"/>
                    </w:rPr>
                    <w:t>32</w:t>
                  </w:r>
                </w:p>
              </w:tc>
            </w:tr>
          </w:tbl>
          <w:p w:rsidR="00D8738C" w:rsidRPr="00270855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rPr>
          <w:rFonts w:cs="Arial"/>
          <w:color w:val="0A0905"/>
          <w:lang w:val="sr-Latn-CS" w:eastAsia="sr-Latn-CS"/>
        </w:rPr>
      </w:pPr>
    </w:p>
    <w:p w:rsidR="004B24FD" w:rsidRDefault="004B24FD" w:rsidP="00D97167">
      <w:pPr>
        <w:spacing w:before="0" w:after="120"/>
        <w:ind w:firstLine="720"/>
        <w:rPr>
          <w:rFonts w:cs="Arial"/>
          <w:lang w:val="sr-Cyrl-CS"/>
        </w:rPr>
      </w:pPr>
      <w:r w:rsidRPr="0095267B">
        <w:rPr>
          <w:rFonts w:cs="Arial"/>
          <w:lang w:val="sv-SE"/>
        </w:rPr>
        <w:t>O</w:t>
      </w:r>
      <w:r>
        <w:rPr>
          <w:rFonts w:cs="Arial"/>
          <w:lang w:val="sv-SE"/>
        </w:rPr>
        <w:t>вај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критеријум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отворен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питања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r-Cyrl-CS"/>
        </w:rPr>
        <w:t>С</w:t>
      </w:r>
      <w:r>
        <w:rPr>
          <w:rFonts w:cs="Arial"/>
          <w:lang w:val="sv-SE"/>
        </w:rPr>
        <w:t>тудије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симулације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изгледа да по</w:t>
      </w:r>
      <w:r>
        <w:rPr>
          <w:rFonts w:cs="Arial"/>
          <w:lang w:val="sv-SE"/>
        </w:rPr>
        <w:t>казују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услов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можда </w:t>
      </w:r>
      <w:r>
        <w:rPr>
          <w:rFonts w:cs="Arial"/>
          <w:lang w:val="sv-SE"/>
        </w:rPr>
        <w:t>превише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конзервативан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хи-квадрат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апроксимација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ради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мање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очекиване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вредности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r-Cyrl-CS"/>
        </w:rPr>
        <w:t>посебно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већи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број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редова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колона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r-Cyrl-CS"/>
        </w:rPr>
        <w:t>А</w:t>
      </w:r>
      <w:r>
        <w:rPr>
          <w:rFonts w:cs="Arial"/>
          <w:lang w:val="it-IT"/>
        </w:rPr>
        <w:t>нализ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базираних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узорцима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величине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посебно 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2 пута 2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предмет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усијане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расправе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статистичарима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нико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успео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осмисли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боље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правило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Cochran</w:t>
      </w:r>
      <w:r>
        <w:rPr>
          <w:rFonts w:cs="Arial"/>
          <w:lang w:val="sr-Cyrl-CS"/>
        </w:rPr>
        <w:t>-ов</w:t>
      </w:r>
      <w:r>
        <w:rPr>
          <w:rFonts w:cs="Arial"/>
          <w:lang w:val="it-IT"/>
        </w:rPr>
        <w:t>ог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препоручио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да се </w:t>
      </w:r>
      <w:r>
        <w:rPr>
          <w:rFonts w:cs="Arial"/>
          <w:lang w:val="it-IT"/>
        </w:rPr>
        <w:t>придржава</w:t>
      </w:r>
      <w:r>
        <w:rPr>
          <w:rFonts w:cs="Arial"/>
          <w:lang w:val="sr-Cyrl-CS"/>
        </w:rPr>
        <w:t>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правила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теоретска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питања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задовољава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критеријум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увек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отворен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оптужбе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његова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исправност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сумњива</w:t>
      </w:r>
      <w:r w:rsidRPr="0095267B">
        <w:rPr>
          <w:rFonts w:cs="Arial"/>
          <w:lang w:val="it-IT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045"/>
      </w:tblGrid>
      <w:tr w:rsidR="00D8738C" w:rsidRPr="000C6780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D8738C" w:rsidRPr="004677DC" w:rsidRDefault="00D8738C" w:rsidP="00D35809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>7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Смањење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sr-Cyrl-CS"/>
              </w:rPr>
              <w:t>т</w:t>
            </w:r>
            <w:r>
              <w:rPr>
                <w:rFonts w:cs="Arial"/>
                <w:lang w:val="it-IT"/>
              </w:rPr>
              <w:t>абеле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10.</w:t>
            </w:r>
            <w:r w:rsidRPr="0095267B">
              <w:rPr>
                <w:rFonts w:cs="Arial"/>
                <w:lang w:val="it-IT"/>
              </w:rPr>
              <w:t xml:space="preserve">6 </w:t>
            </w:r>
            <w:r>
              <w:rPr>
                <w:rFonts w:cs="Arial"/>
                <w:lang w:val="it-IT"/>
              </w:rPr>
              <w:t>на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2 пута 2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табелу</w:t>
            </w:r>
          </w:p>
        </w:tc>
      </w:tr>
      <w:tr w:rsidR="00D8738C" w:rsidRPr="000C6780">
        <w:trPr>
          <w:trHeight w:val="313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384"/>
              <w:gridCol w:w="1390"/>
              <w:gridCol w:w="1260"/>
              <w:gridCol w:w="1390"/>
              <w:gridCol w:w="1260"/>
              <w:gridCol w:w="895"/>
            </w:tblGrid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jc w:val="left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lastRenderedPageBreak/>
                    <w:t>Радиолошка процена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E05FD1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Стрептомицин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Контролисани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Посматрано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270855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Очекивано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Посматрано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Очекивано</w:t>
                  </w:r>
                </w:p>
              </w:tc>
              <w:tc>
                <w:tcPr>
                  <w:tcW w:w="0" w:type="auto"/>
                  <w:vMerge/>
                  <w:vAlign w:val="center"/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</w:tr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Побољшање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9.6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18</w:t>
                  </w:r>
                </w:p>
              </w:tc>
            </w:tr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E05FD1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Погоршање или смрт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6.6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7.4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14</w:t>
                  </w:r>
                </w:p>
              </w:tc>
            </w:tr>
            <w:tr w:rsidR="00D8738C" w:rsidRPr="004677DC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D8738C" w:rsidRPr="004677DC" w:rsidRDefault="00D8738C" w:rsidP="00D35809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32</w:t>
                  </w:r>
                </w:p>
              </w:tc>
            </w:tr>
          </w:tbl>
          <w:p w:rsidR="00D8738C" w:rsidRPr="004677DC" w:rsidRDefault="00D8738C" w:rsidP="00D35809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D8738C" w:rsidRDefault="00D8738C" w:rsidP="00D8738C">
      <w:pPr>
        <w:spacing w:before="0"/>
        <w:ind w:firstLine="720"/>
        <w:rPr>
          <w:rFonts w:cs="Arial"/>
          <w:lang w:val="sr-Cyrl-CS"/>
        </w:rPr>
      </w:pPr>
    </w:p>
    <w:p w:rsidR="00D97167" w:rsidRDefault="00D97167" w:rsidP="00D9716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критеријум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задовољен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брисати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</w:t>
      </w:r>
      <w:r>
        <w:rPr>
          <w:rFonts w:cs="Arial"/>
          <w:lang w:val="sr-Cyrl-CS"/>
        </w:rPr>
        <w:t>обили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Наравно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2 пута 2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разматрамо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детаљније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наставку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6 </w:t>
      </w:r>
      <w:r>
        <w:rPr>
          <w:rFonts w:cs="Arial"/>
          <w:lang w:val="it-IT"/>
        </w:rPr>
        <w:t>приказује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податке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RC</w:t>
      </w:r>
      <w:r>
        <w:rPr>
          <w:rFonts w:cs="Arial"/>
          <w:color w:val="0A0905"/>
          <w:lang w:val="sr-Cyrl-CS" w:eastAsia="sr-Latn-CS"/>
        </w:rPr>
        <w:t xml:space="preserve"> (</w:t>
      </w:r>
      <w:r w:rsidRPr="006F0E3A">
        <w:rPr>
          <w:rFonts w:cs="Arial"/>
          <w:i/>
          <w:color w:val="0A0905"/>
          <w:lang w:val="sr-Cyrl-CS" w:eastAsia="sr-Latn-CS"/>
        </w:rPr>
        <w:t>Medical Research Council</w:t>
      </w:r>
      <w:r>
        <w:rPr>
          <w:rFonts w:cs="Arial"/>
          <w:color w:val="0A0905"/>
          <w:lang w:val="sr-Cyrl-CS" w:eastAsia="sr-Latn-CS"/>
        </w:rPr>
        <w:t>)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пробног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стрептомицина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резултат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радиолошке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подгрупу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дефинисаних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прогностичком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променљивом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желимо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докази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дејству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стрептомицина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оквиру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подгрупе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желимо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да 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ефекта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помоћу хи-квадрат теста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6 </w:t>
      </w:r>
      <w:r>
        <w:rPr>
          <w:rFonts w:cs="Arial"/>
          <w:lang w:val="it-IT"/>
        </w:rPr>
        <w:t>очекиваних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5,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важећи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подигнемо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редовима</w:t>
      </w:r>
      <w:r w:rsidRPr="0095267B">
        <w:rPr>
          <w:rFonts w:cs="Arial"/>
          <w:lang w:val="it-IT"/>
        </w:rPr>
        <w:t xml:space="preserve"> "</w:t>
      </w:r>
      <w:r w:rsidRPr="00835E34">
        <w:rPr>
          <w:rFonts w:cs="Arial"/>
          <w:lang w:val="it-IT"/>
        </w:rPr>
        <w:t>погоршање</w:t>
      </w:r>
      <w:r w:rsidRPr="0095267B">
        <w:rPr>
          <w:rFonts w:cs="Arial"/>
          <w:lang w:val="it-IT"/>
        </w:rPr>
        <w:t xml:space="preserve">” </w:t>
      </w:r>
      <w:r>
        <w:rPr>
          <w:rFonts w:cs="Arial"/>
          <w:lang w:val="sr-Cyrl-CS"/>
        </w:rPr>
        <w:t>(</w:t>
      </w:r>
      <w:r w:rsidRPr="00835E34">
        <w:rPr>
          <w:rFonts w:cs="Arial"/>
          <w:i/>
          <w:lang w:val="sr-Cyrl-CS"/>
        </w:rPr>
        <w:t>deterioration</w:t>
      </w:r>
      <w:r>
        <w:rPr>
          <w:rFonts w:cs="Arial"/>
          <w:lang w:val="sr-Cyrl-CS"/>
        </w:rPr>
        <w:t xml:space="preserve">)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“</w:t>
      </w:r>
      <w:r>
        <w:rPr>
          <w:rFonts w:cs="Arial"/>
          <w:lang w:val="it-IT"/>
        </w:rPr>
        <w:t>смрт</w:t>
      </w:r>
      <w:r w:rsidRPr="0095267B">
        <w:rPr>
          <w:rFonts w:cs="Arial"/>
          <w:lang w:val="it-IT"/>
        </w:rPr>
        <w:t>”</w:t>
      </w:r>
      <w:r>
        <w:rPr>
          <w:rFonts w:cs="Arial"/>
          <w:lang w:val="sr-Cyrl-CS"/>
        </w:rPr>
        <w:t xml:space="preserve"> (</w:t>
      </w:r>
      <w:r w:rsidRPr="00C07D9C">
        <w:rPr>
          <w:rFonts w:cs="Arial"/>
          <w:i/>
          <w:color w:val="0A0905"/>
          <w:lang w:val="sr-Latn-CS" w:eastAsia="sr-Latn-CS"/>
        </w:rPr>
        <w:t>death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смисла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ред</w:t>
      </w:r>
      <w:r w:rsidRPr="0095267B">
        <w:rPr>
          <w:rFonts w:cs="Arial"/>
          <w:lang w:val="it-IT"/>
        </w:rPr>
        <w:t xml:space="preserve"> "</w:t>
      </w:r>
      <w:r w:rsidRPr="00835E34">
        <w:rPr>
          <w:rFonts w:cs="Arial"/>
          <w:lang w:val="it-IT"/>
        </w:rPr>
        <w:t>погоршање</w:t>
      </w:r>
      <w:r>
        <w:rPr>
          <w:rFonts w:cs="Arial"/>
          <w:lang w:val="it-IT"/>
        </w:rPr>
        <w:t xml:space="preserve"> 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</w:t>
      </w:r>
      <w:r w:rsidRPr="0095267B">
        <w:rPr>
          <w:rFonts w:cs="Arial"/>
          <w:lang w:val="it-IT"/>
        </w:rPr>
        <w:t>”</w:t>
      </w:r>
      <w:r>
        <w:rPr>
          <w:rFonts w:cs="Arial"/>
          <w:lang w:val="sr-Cyrl-CS"/>
        </w:rPr>
        <w:t xml:space="preserve"> (</w:t>
      </w:r>
      <w:r w:rsidRPr="00C07D9C">
        <w:rPr>
          <w:rFonts w:cs="Arial"/>
          <w:i/>
          <w:color w:val="0A0905"/>
          <w:lang w:val="sr-Latn-CS" w:eastAsia="sr-Latn-CS"/>
        </w:rPr>
        <w:t>deterioration or death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урадити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1 </w:t>
      </w:r>
      <w:r>
        <w:rPr>
          <w:rFonts w:cs="Arial"/>
          <w:lang w:val="it-IT"/>
        </w:rPr>
        <w:t>степеном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слободе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обзиром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значење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различитих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категорија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6,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никаквог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смисла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комбиновању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редова</w:t>
      </w:r>
      <w:r w:rsidRPr="0095267B">
        <w:rPr>
          <w:rFonts w:cs="Arial"/>
          <w:lang w:val="it-IT"/>
        </w:rPr>
        <w:t xml:space="preserve"> 1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3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нову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категорију</w:t>
      </w:r>
      <w:r w:rsidRPr="0095267B">
        <w:rPr>
          <w:rFonts w:cs="Arial"/>
          <w:lang w:val="it-IT"/>
        </w:rPr>
        <w:t xml:space="preserve"> "</w:t>
      </w:r>
      <w:r>
        <w:rPr>
          <w:rFonts w:cs="Arial"/>
          <w:lang w:val="it-IT"/>
        </w:rPr>
        <w:t>значајно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побољшањ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</w:t>
      </w:r>
      <w:r w:rsidRPr="0095267B">
        <w:rPr>
          <w:rFonts w:cs="Arial"/>
          <w:lang w:val="it-IT"/>
        </w:rPr>
        <w:t xml:space="preserve">”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упореди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остатком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поређење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апсурдно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7. </w:t>
      </w:r>
    </w:p>
    <w:p w:rsidR="00D8738C" w:rsidRDefault="00D8738C" w:rsidP="00D97167">
      <w:pPr>
        <w:spacing w:before="0"/>
        <w:ind w:firstLine="567"/>
        <w:rPr>
          <w:rFonts w:cs="Arial"/>
          <w:lang w:val="sr-Cyrl-CS"/>
        </w:rPr>
      </w:pPr>
      <w:r>
        <w:rPr>
          <w:rFonts w:cs="Arial"/>
          <w:lang w:val="it-IT"/>
        </w:rPr>
        <w:t>Имамо</w:t>
      </w:r>
    </w:p>
    <w:p w:rsidR="00D8738C" w:rsidRPr="0095267B" w:rsidRDefault="00D8738C" w:rsidP="00D8738C">
      <w:pPr>
        <w:pStyle w:val="Equation1"/>
      </w:pPr>
      <w:r w:rsidRPr="00F40DEB">
        <w:rPr>
          <w:position w:val="-20"/>
        </w:rPr>
        <w:object w:dxaOrig="6000" w:dyaOrig="580">
          <v:shape id="_x0000_i1035" type="#_x0000_t75" style="width:300.1pt;height:28.2pt" o:ole="">
            <v:imagedata r:id="rId29" o:title=""/>
          </v:shape>
          <o:OLEObject Type="Embed" ProgID="Equation.3" ShapeID="_x0000_i1035" DrawAspect="Content" ObjectID="_1602945744" r:id="rId30"/>
        </w:object>
      </w:r>
    </w:p>
    <w:p w:rsidR="00D8738C" w:rsidRPr="00F36C80" w:rsidRDefault="00D8738C" w:rsidP="00D8738C">
      <w:pPr>
        <w:spacing w:before="0"/>
        <w:ind w:firstLine="720"/>
        <w:rPr>
          <w:rFonts w:cs="Arial"/>
          <w:lang w:val="sr-Cyrl-CS"/>
        </w:rPr>
      </w:pPr>
    </w:p>
    <w:p w:rsidR="00D8738C" w:rsidRPr="00297C3D" w:rsidRDefault="00D8738C" w:rsidP="00D8738C">
      <w:pPr>
        <w:spacing w:before="0"/>
        <w:ind w:firstLine="720"/>
        <w:rPr>
          <w:rFonts w:cs="Arial"/>
          <w:lang w:val="sr-Cyrl-CS"/>
        </w:rPr>
      </w:pPr>
      <w:r w:rsidRPr="00297C3D">
        <w:rPr>
          <w:rFonts w:cs="Arial"/>
          <w:lang w:val="sr-Cyrl-CS"/>
        </w:rPr>
        <w:t xml:space="preserve">По нултој хипотези ово је од </w:t>
      </w:r>
      <w:r>
        <w:rPr>
          <w:rFonts w:cs="Arial"/>
          <w:lang w:val="sr-Cyrl-CS"/>
        </w:rPr>
        <w:t>Хи-квадрат</w:t>
      </w:r>
      <w:r w:rsidRPr="00297C3D">
        <w:rPr>
          <w:rFonts w:cs="Arial"/>
          <w:lang w:val="sr-Cyrl-CS"/>
        </w:rPr>
        <w:t xml:space="preserve"> расподеле са једним степеном слободе, а из табеле </w:t>
      </w:r>
      <w:r>
        <w:rPr>
          <w:rFonts w:cs="Arial"/>
          <w:lang w:val="sr-Cyrl-CS"/>
        </w:rPr>
        <w:t>10.</w:t>
      </w:r>
      <w:r w:rsidRPr="00297C3D">
        <w:rPr>
          <w:rFonts w:cs="Arial"/>
          <w:lang w:val="sr-Cyrl-CS"/>
        </w:rPr>
        <w:t>3 можемо видети да је вероватноћа за добијање екстремних вредности, као што је 10.8 мања од 1%. Имамо податке који нису у складу са нултом хипотезом и можемо закључити да докази указују на ефекат лечења у овој подгрупи.</w:t>
      </w:r>
    </w:p>
    <w:p w:rsidR="00D8738C" w:rsidRDefault="00D8738C" w:rsidP="00D8738C">
      <w:pPr>
        <w:spacing w:before="0" w:after="120"/>
        <w:ind w:firstLine="720"/>
        <w:rPr>
          <w:rFonts w:cs="Arial"/>
        </w:rPr>
      </w:pPr>
      <w:r w:rsidRPr="00297C3D">
        <w:rPr>
          <w:rFonts w:cs="Arial"/>
          <w:lang w:val="sr-Cyrl-CS"/>
        </w:rPr>
        <w:t xml:space="preserve">Ако табела не испуњава критеријум чак и после смањења на </w:t>
      </w:r>
      <w:r>
        <w:rPr>
          <w:rFonts w:cs="Arial"/>
          <w:lang w:val="sr-Cyrl-CS"/>
        </w:rPr>
        <w:t>2 пута 2</w:t>
      </w:r>
      <w:r w:rsidRPr="00297C3D">
        <w:rPr>
          <w:rFonts w:cs="Arial"/>
          <w:lang w:val="sr-Cyrl-CS"/>
        </w:rPr>
        <w:t xml:space="preserve"> табелу, можемо применити </w:t>
      </w:r>
      <w:r>
        <w:rPr>
          <w:rFonts w:cs="Arial"/>
          <w:lang w:val="sr-Cyrl-CS"/>
        </w:rPr>
        <w:t>или</w:t>
      </w:r>
      <w:r w:rsidRPr="00297C3D">
        <w:rPr>
          <w:rFonts w:cs="Arial"/>
          <w:lang w:val="sr-Cyrl-CS"/>
        </w:rPr>
        <w:t xml:space="preserve"> корекцију континуитета да побољшамо апроксимацију до </w:t>
      </w:r>
      <w:r>
        <w:rPr>
          <w:rFonts w:cs="Arial"/>
          <w:lang w:val="sr-Cyrl-CS"/>
        </w:rPr>
        <w:t>Хи-квадрат</w:t>
      </w:r>
      <w:r w:rsidRPr="00297C3D">
        <w:rPr>
          <w:rFonts w:cs="Arial"/>
          <w:lang w:val="sr-Cyrl-CS"/>
        </w:rPr>
        <w:t xml:space="preserve"> расподеле (</w:t>
      </w:r>
      <w:r>
        <w:rPr>
          <w:rFonts w:cs="Arial"/>
          <w:lang w:val="sr-Cyrl-CS"/>
        </w:rPr>
        <w:t xml:space="preserve">део </w:t>
      </w:r>
      <w:r w:rsidRPr="00297C3D">
        <w:rPr>
          <w:rFonts w:cs="Arial"/>
          <w:lang w:val="sr-Cyrl-CS"/>
        </w:rPr>
        <w:t>1</w:t>
      </w:r>
      <w:r>
        <w:rPr>
          <w:rFonts w:cs="Arial"/>
          <w:lang w:val="sr-Cyrl-CS"/>
        </w:rPr>
        <w:t>0</w:t>
      </w:r>
      <w:r w:rsidRPr="00297C3D">
        <w:rPr>
          <w:rFonts w:cs="Arial"/>
          <w:lang w:val="sr-Cyrl-CS"/>
        </w:rPr>
        <w:t>.5), или тест</w:t>
      </w:r>
      <w:r>
        <w:rPr>
          <w:rFonts w:cs="Arial"/>
          <w:lang w:val="sr-Cyrl-CS"/>
        </w:rPr>
        <w:t xml:space="preserve"> </w:t>
      </w:r>
      <w:r w:rsidRPr="007D50C2">
        <w:rPr>
          <w:rFonts w:cs="Arial"/>
          <w:lang w:val="sr-Cyrl-CS"/>
        </w:rPr>
        <w:t>тачне вероватноће</w:t>
      </w:r>
      <w:r w:rsidRPr="00297C3D">
        <w:rPr>
          <w:rFonts w:cs="Arial"/>
          <w:lang w:val="sr-Cyrl-CS"/>
        </w:rPr>
        <w:t xml:space="preserve"> заснован на </w:t>
      </w:r>
      <w:r>
        <w:rPr>
          <w:rFonts w:cs="Arial"/>
          <w:lang w:val="sr-Cyrl-CS"/>
        </w:rPr>
        <w:t>дискретној</w:t>
      </w:r>
      <w:r w:rsidRPr="00297C3D">
        <w:rPr>
          <w:rFonts w:cs="Arial"/>
          <w:lang w:val="sr-Cyrl-CS"/>
        </w:rPr>
        <w:t xml:space="preserve"> расподели (</w:t>
      </w:r>
      <w:r>
        <w:rPr>
          <w:rFonts w:cs="Arial"/>
          <w:lang w:val="sr-Cyrl-CS"/>
        </w:rPr>
        <w:t>део</w:t>
      </w:r>
      <w:r w:rsidRPr="00297C3D">
        <w:rPr>
          <w:rFonts w:cs="Arial"/>
          <w:lang w:val="sr-Cyrl-CS"/>
        </w:rPr>
        <w:t xml:space="preserve"> 1</w:t>
      </w:r>
      <w:r>
        <w:rPr>
          <w:rFonts w:cs="Arial"/>
          <w:lang w:val="sr-Cyrl-CS"/>
        </w:rPr>
        <w:t>0</w:t>
      </w:r>
      <w:r w:rsidRPr="00297C3D">
        <w:rPr>
          <w:rFonts w:cs="Arial"/>
          <w:lang w:val="sr-Cyrl-CS"/>
        </w:rPr>
        <w:t>.4).</w:t>
      </w:r>
    </w:p>
    <w:p w:rsidR="00A97D17" w:rsidRPr="00250E6B" w:rsidRDefault="00A97D17" w:rsidP="00A97D17">
      <w:pPr>
        <w:pStyle w:val="Heading3"/>
        <w:rPr>
          <w:lang w:val="sr-Cyrl-CS" w:eastAsia="sr-Latn-CS"/>
        </w:rPr>
      </w:pPr>
      <w:bookmarkStart w:id="15" w:name="_Toc261679006"/>
      <w:bookmarkStart w:id="16" w:name="_Toc366228914"/>
      <w:bookmarkStart w:id="17" w:name="_Toc529202169"/>
      <w:r w:rsidRPr="00D8169A">
        <w:rPr>
          <w:lang w:val="sr-Cyrl-CS" w:eastAsia="sr-Latn-CS"/>
        </w:rPr>
        <w:t xml:space="preserve">10.4 </w:t>
      </w:r>
      <w:r w:rsidRPr="00D85174">
        <w:rPr>
          <w:lang w:eastAsia="sr-Latn-CS"/>
        </w:rPr>
        <w:t>Fisher</w:t>
      </w:r>
      <w:r w:rsidRPr="00D85174">
        <w:rPr>
          <w:lang w:val="sr-Cyrl-CS" w:eastAsia="sr-Latn-CS"/>
        </w:rPr>
        <w:t>-ов</w:t>
      </w:r>
      <w:r w:rsidRPr="00D8169A">
        <w:rPr>
          <w:lang w:val="sr-Cyrl-CS" w:eastAsia="sr-Latn-CS"/>
        </w:rPr>
        <w:t xml:space="preserve"> </w:t>
      </w:r>
      <w:bookmarkEnd w:id="15"/>
      <w:r w:rsidRPr="00D8169A">
        <w:rPr>
          <w:lang w:val="sr-Cyrl-CS" w:eastAsia="sr-Latn-CS"/>
        </w:rPr>
        <w:t>тест</w:t>
      </w:r>
      <w:r>
        <w:rPr>
          <w:lang w:val="sr-Cyrl-CS" w:eastAsia="sr-Latn-CS"/>
        </w:rPr>
        <w:t xml:space="preserve"> тачне вероватноће</w:t>
      </w:r>
      <w:bookmarkEnd w:id="16"/>
      <w:bookmarkEnd w:id="17"/>
    </w:p>
    <w:p w:rsidR="00A97D17" w:rsidRDefault="00A97D17" w:rsidP="00A97D17">
      <w:pPr>
        <w:spacing w:before="0"/>
        <w:rPr>
          <w:rFonts w:cs="Arial"/>
          <w:lang w:val="sr-Cyrl-CS"/>
        </w:rPr>
      </w:pP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описан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делу </w:t>
      </w:r>
      <w:r w:rsidRPr="0095267B">
        <w:rPr>
          <w:rFonts w:cs="Arial"/>
          <w:lang w:val="it-IT"/>
        </w:rPr>
        <w:t>1</w:t>
      </w:r>
      <w:r>
        <w:rPr>
          <w:rFonts w:cs="Arial"/>
          <w:lang w:val="sr-Cyrl-CS"/>
        </w:rPr>
        <w:t>0</w:t>
      </w:r>
      <w:r w:rsidRPr="0095267B">
        <w:rPr>
          <w:rFonts w:cs="Arial"/>
          <w:lang w:val="it-IT"/>
        </w:rPr>
        <w:t xml:space="preserve">.1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</w:t>
      </w:r>
      <w:r>
        <w:rPr>
          <w:rFonts w:cs="Arial"/>
          <w:lang w:val="sr-Cyrl-CS"/>
        </w:rPr>
        <w:t>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није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очекиване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5,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окренути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color w:val="0A0905"/>
          <w:lang w:val="sr-Latn-CS" w:eastAsia="sr-Latn-CS"/>
        </w:rPr>
        <w:t>М</w:t>
      </w:r>
      <w:r w:rsidRPr="000C6780">
        <w:rPr>
          <w:rFonts w:cs="Arial"/>
          <w:color w:val="0A0905"/>
          <w:lang w:val="sr-Latn-CS" w:eastAsia="sr-Latn-CS"/>
        </w:rPr>
        <w:t>ann</w:t>
      </w:r>
      <w:r w:rsidRPr="00371AAC">
        <w:rPr>
          <w:rFonts w:ascii="Symbol" w:hAnsi="Symbol" w:cs="Arial"/>
          <w:color w:val="0A0905"/>
          <w:lang w:val="sr-Latn-CS" w:eastAsia="sr-Latn-CS"/>
        </w:rPr>
        <w:t></w:t>
      </w:r>
      <w:r w:rsidRPr="000C6780">
        <w:rPr>
          <w:rFonts w:cs="Arial"/>
          <w:color w:val="0A0905"/>
          <w:lang w:val="sr-Latn-CS" w:eastAsia="sr-Latn-CS"/>
        </w:rPr>
        <w:t xml:space="preserve">Whitney U </w:t>
      </w:r>
      <w:r>
        <w:rPr>
          <w:rFonts w:cs="Arial"/>
          <w:color w:val="0A0905"/>
          <w:lang w:val="sr-Cyrl-CS" w:eastAsia="sr-Latn-CS"/>
        </w:rPr>
        <w:t xml:space="preserve">статистику </w:t>
      </w:r>
      <w:r w:rsidRPr="0095267B">
        <w:rPr>
          <w:rFonts w:cs="Arial"/>
          <w:lang w:val="it-IT"/>
        </w:rPr>
        <w:t>(</w:t>
      </w:r>
      <w:r>
        <w:rPr>
          <w:rFonts w:cs="Arial"/>
          <w:lang w:val="sr-Cyrl-CS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9</w:t>
      </w:r>
      <w:r w:rsidRPr="0095267B">
        <w:rPr>
          <w:rFonts w:cs="Arial"/>
          <w:lang w:val="it-IT"/>
        </w:rPr>
        <w:t>.2). O</w:t>
      </w:r>
      <w:r>
        <w:rPr>
          <w:rFonts w:cs="Arial"/>
          <w:lang w:val="it-IT"/>
        </w:rPr>
        <w:t>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метод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зове</w:t>
      </w:r>
      <w:r w:rsidRPr="0095267B">
        <w:rPr>
          <w:rFonts w:cs="Arial"/>
          <w:lang w:val="it-IT"/>
        </w:rPr>
        <w:t xml:space="preserve"> </w:t>
      </w:r>
      <w:r w:rsidRPr="00297C3D">
        <w:rPr>
          <w:b/>
          <w:lang w:val="it-IT" w:eastAsia="sr-Latn-CS"/>
        </w:rPr>
        <w:t>Fisher</w:t>
      </w:r>
      <w:r w:rsidRPr="002806B2">
        <w:rPr>
          <w:b/>
          <w:lang w:val="sr-Cyrl-CS" w:eastAsia="sr-Latn-CS"/>
        </w:rPr>
        <w:t>-ов</w:t>
      </w:r>
      <w:r w:rsidRPr="00297C3D">
        <w:rPr>
          <w:b/>
          <w:lang w:val="it-IT" w:eastAsia="sr-Latn-CS"/>
        </w:rPr>
        <w:t xml:space="preserve"> </w:t>
      </w:r>
      <w:r w:rsidRPr="00A54A34">
        <w:rPr>
          <w:b/>
          <w:lang w:val="sr-Cyrl-CS" w:eastAsia="sr-Latn-CS"/>
        </w:rPr>
        <w:t xml:space="preserve">тест тачне вероватноће </w:t>
      </w:r>
      <w:r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Fisher's exact test</w:t>
      </w:r>
      <w:r>
        <w:rPr>
          <w:rFonts w:cs="Arial"/>
          <w:lang w:val="sr-Cyrl-CS"/>
        </w:rPr>
        <w:t xml:space="preserve">) или </w:t>
      </w:r>
      <w:r w:rsidRPr="006E7F9D">
        <w:rPr>
          <w:rFonts w:cs="Arial"/>
          <w:b/>
          <w:lang w:val="sr-Cyrl-CS"/>
        </w:rPr>
        <w:t>тест стварне вероватноће</w:t>
      </w:r>
      <w:r w:rsidRPr="0095267B">
        <w:rPr>
          <w:rFonts w:cs="Arial"/>
          <w:lang w:val="it-IT"/>
        </w:rPr>
        <w:t>.</w:t>
      </w:r>
    </w:p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дате 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Баш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хи-квадрат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узорка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ограничавамо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нашу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пажњу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вредностима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потешкоћа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креирала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мног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полемик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употребе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Показаћу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ради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затим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ћемо </w:t>
      </w:r>
      <w:r>
        <w:rPr>
          <w:rFonts w:cs="Arial"/>
          <w:lang w:val="it-IT"/>
        </w:rPr>
        <w:t>продискутовати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његовој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применљивости</w:t>
      </w:r>
      <w:r w:rsidRPr="0095267B">
        <w:rPr>
          <w:rFonts w:cs="Arial"/>
          <w:lang w:val="it-IT"/>
        </w:rPr>
        <w:t>.</w:t>
      </w:r>
    </w:p>
    <w:p w:rsidR="00A97D17" w:rsidRDefault="00A97D17" w:rsidP="00A97D17">
      <w:pPr>
        <w:spacing w:before="0" w:after="12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Размотрите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следећи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вештачки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пример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експерименту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sr-Cyrl-CS"/>
        </w:rPr>
        <w:t>случајно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расподелимо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пацијента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третман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пацијента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третман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/>
        </w:rPr>
        <w:t xml:space="preserve"> 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добијемо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резултат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приказан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8. </w:t>
      </w:r>
      <w:r>
        <w:rPr>
          <w:rFonts w:cs="Arial"/>
          <w:lang w:val="it-IT"/>
        </w:rPr>
        <w:t>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желимо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знамо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разлике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смртности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лечења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имају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ефекат</w:t>
      </w:r>
      <w:r w:rsidRPr="0095267B">
        <w:rPr>
          <w:rFonts w:cs="Arial"/>
          <w:lang w:val="it-IT"/>
        </w:rPr>
        <w:t xml:space="preserve"> (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). </w:t>
      </w:r>
      <w:r>
        <w:rPr>
          <w:rFonts w:cs="Arial"/>
          <w:lang w:val="it-IT"/>
        </w:rPr>
        <w:t>Могли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насумично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поделимо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пацијенте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lastRenderedPageBreak/>
        <w:t>групе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много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пацијента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умрли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расподељености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држимо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константним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постој</w:t>
      </w:r>
      <w:r>
        <w:rPr>
          <w:rFonts w:cs="Arial"/>
          <w:lang w:val="sr-Cyrl-CS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само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могу</w:t>
      </w:r>
      <w:r>
        <w:rPr>
          <w:rFonts w:cs="Arial"/>
          <w:lang w:val="sr-Cyrl-CS"/>
        </w:rPr>
        <w:t>ћ</w:t>
      </w:r>
      <w:r>
        <w:rPr>
          <w:rFonts w:cs="Arial"/>
          <w:lang w:val="it-IT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приказане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>9. O</w:t>
      </w:r>
      <w:r>
        <w:rPr>
          <w:rFonts w:cs="Arial"/>
          <w:lang w:val="it-IT"/>
        </w:rPr>
        <w:t>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проналазе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стављањем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0, 1, 2, 3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ћелију</w:t>
      </w:r>
      <w:r w:rsidRPr="0095267B">
        <w:rPr>
          <w:rFonts w:cs="Arial"/>
          <w:lang w:val="it-IT"/>
        </w:rPr>
        <w:t xml:space="preserve"> “</w:t>
      </w:r>
      <w:r>
        <w:rPr>
          <w:rFonts w:cs="Arial"/>
          <w:lang w:val="sr-Cyrl-CS"/>
        </w:rPr>
        <w:t>У</w:t>
      </w:r>
      <w:r>
        <w:rPr>
          <w:rFonts w:cs="Arial"/>
          <w:lang w:val="it-IT"/>
        </w:rPr>
        <w:t>мр</w:t>
      </w:r>
      <w:r>
        <w:rPr>
          <w:rFonts w:cs="Arial"/>
          <w:lang w:val="sr-Cyrl-CS"/>
        </w:rPr>
        <w:t>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”.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друге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направиле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броја умрлих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већом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3.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540"/>
      </w:tblGrid>
      <w:tr w:rsidR="00A97D17" w:rsidRPr="00550E9D" w:rsidTr="00297606">
        <w:trPr>
          <w:tblCellSpacing w:w="0" w:type="dxa"/>
          <w:jc w:val="center"/>
        </w:trPr>
        <w:tc>
          <w:tcPr>
            <w:tcW w:w="8540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A97D17" w:rsidRPr="006449CE" w:rsidRDefault="00A97D17" w:rsidP="00297606">
            <w:pPr>
              <w:spacing w:before="0"/>
              <w:rPr>
                <w:rFonts w:cs="Arial"/>
                <w:lang w:val="sr-Cyrl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>8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Вештачки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подаци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ради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илустрације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>Fisher</w:t>
            </w:r>
            <w:r>
              <w:rPr>
                <w:rFonts w:cs="Arial"/>
                <w:lang w:val="sr-Cyrl-CS"/>
              </w:rPr>
              <w:t>-о</w:t>
            </w:r>
            <w:r>
              <w:rPr>
                <w:rFonts w:cs="Arial"/>
                <w:lang w:val="it-IT"/>
              </w:rPr>
              <w:t>вог</w:t>
            </w:r>
            <w:r w:rsidRPr="0095267B">
              <w:rPr>
                <w:rFonts w:cs="Arial"/>
                <w:lang w:val="it-IT"/>
              </w:rPr>
              <w:t xml:space="preserve"> </w:t>
            </w:r>
            <w:r w:rsidRPr="006449CE">
              <w:rPr>
                <w:rFonts w:cs="Arial"/>
                <w:lang w:val="sr-Cyrl-CS"/>
              </w:rPr>
              <w:t>тест</w:t>
            </w:r>
            <w:r>
              <w:rPr>
                <w:rFonts w:cs="Arial"/>
                <w:lang w:val="sr-Cyrl-CS"/>
              </w:rPr>
              <w:t>а</w:t>
            </w:r>
            <w:r w:rsidRPr="006449CE">
              <w:rPr>
                <w:rFonts w:cs="Arial"/>
                <w:lang w:val="sr-Cyrl-CS"/>
              </w:rPr>
              <w:t xml:space="preserve"> тачне вероватноће</w:t>
            </w:r>
          </w:p>
        </w:tc>
      </w:tr>
      <w:tr w:rsidR="00A97D17" w:rsidRPr="004677DC" w:rsidTr="00297606">
        <w:trPr>
          <w:trHeight w:val="2397"/>
          <w:tblCellSpacing w:w="0" w:type="dxa"/>
          <w:jc w:val="center"/>
        </w:trPr>
        <w:tc>
          <w:tcPr>
            <w:tcW w:w="8540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7866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054"/>
              <w:gridCol w:w="1984"/>
              <w:gridCol w:w="1701"/>
              <w:gridCol w:w="2127"/>
            </w:tblGrid>
            <w:tr w:rsidR="00A97D17" w:rsidRPr="004677DC" w:rsidTr="00297606">
              <w:trPr>
                <w:tblCellSpacing w:w="0" w:type="dxa"/>
              </w:trPr>
              <w:tc>
                <w:tcPr>
                  <w:tcW w:w="205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98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E05FD1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7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E05FD1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2127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20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Лечење</w:t>
                  </w: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9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21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20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Лечење</w:t>
                  </w: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 xml:space="preserve"> B</w:t>
                  </w:r>
                </w:p>
              </w:tc>
              <w:tc>
                <w:tcPr>
                  <w:tcW w:w="19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21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20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198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2127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</w:tbl>
          <w:p w:rsidR="00A97D17" w:rsidRPr="004677DC" w:rsidRDefault="00A97D17" w:rsidP="00297606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A97D17" w:rsidRDefault="00A97D17" w:rsidP="00A97D17">
      <w:pPr>
        <w:spacing w:before="0"/>
        <w:rPr>
          <w:rFonts w:cs="Arial"/>
          <w:lang w:val="sr-Cyrl-CS"/>
        </w:rPr>
      </w:pPr>
    </w:p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хајде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обележимо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наше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субјекте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color w:val="0A0905"/>
          <w:lang w:val="sr-Latn-CS" w:eastAsia="sr-Latn-CS"/>
        </w:rPr>
        <w:t>h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Преживеле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обележити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color w:val="0A0905"/>
          <w:lang w:val="sr-Latn-CS" w:eastAsia="sr-Latn-CS"/>
        </w:rPr>
        <w:t>e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умрле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са </w:t>
      </w:r>
      <w:r w:rsidRPr="000A5594">
        <w:rPr>
          <w:rFonts w:cs="Arial"/>
          <w:i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до</w:t>
      </w:r>
      <w:r w:rsidRPr="0095267B">
        <w:rPr>
          <w:rFonts w:cs="Arial"/>
          <w:lang w:val="it-IT"/>
        </w:rPr>
        <w:t xml:space="preserve"> </w:t>
      </w:r>
      <w:r w:rsidRPr="000A5594">
        <w:rPr>
          <w:rFonts w:cs="Arial"/>
          <w:i/>
          <w:lang w:val="it-IT"/>
        </w:rPr>
        <w:t>h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колико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болесници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организовати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 w:rsidRPr="00C069DF">
        <w:rPr>
          <w:rFonts w:cs="Arial"/>
          <w:i/>
          <w:color w:val="0A0905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C069DF">
        <w:rPr>
          <w:rFonts w:cs="Arial"/>
          <w:i/>
          <w:color w:val="0A0905"/>
          <w:lang w:val="sr-Latn-CS" w:eastAsia="sr-Latn-CS"/>
        </w:rPr>
        <w:t>ii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C069DF">
        <w:rPr>
          <w:rFonts w:cs="Arial"/>
          <w:i/>
          <w:color w:val="0A0905"/>
          <w:lang w:val="sr-Latn-CS" w:eastAsia="sr-Latn-CS"/>
        </w:rPr>
        <w:t>iii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C069DF">
        <w:rPr>
          <w:rFonts w:cs="Arial"/>
          <w:i/>
          <w:color w:val="0A0905"/>
          <w:lang w:val="sr-Latn-CS" w:eastAsia="sr-Latn-CS"/>
        </w:rPr>
        <w:t>iv</w:t>
      </w:r>
      <w:r w:rsidRPr="0095267B">
        <w:rPr>
          <w:rFonts w:cs="Arial"/>
          <w:lang w:val="it-IT"/>
        </w:rPr>
        <w:t xml:space="preserve">?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C069DF">
        <w:rPr>
          <w:rFonts w:cs="Arial"/>
          <w:i/>
          <w:color w:val="0A0905"/>
          <w:lang w:val="sr-Latn-CS" w:eastAsia="sr-Latn-CS"/>
        </w:rPr>
        <w:t>i</w:t>
      </w:r>
      <w:r>
        <w:rPr>
          <w:rFonts w:cs="Arial"/>
          <w:lang w:val="it-IT"/>
        </w:rPr>
        <w:t xml:space="preserve"> 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настати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Пацијенти</w:t>
      </w:r>
      <w:r w:rsidRPr="0095267B">
        <w:rPr>
          <w:rFonts w:cs="Arial"/>
          <w:lang w:val="it-IT"/>
        </w:rPr>
        <w:t xml:space="preserve"> </w:t>
      </w:r>
      <w:r w:rsidRPr="00813D98">
        <w:rPr>
          <w:rFonts w:cs="Arial"/>
          <w:i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813D98">
        <w:rPr>
          <w:rFonts w:cs="Arial"/>
          <w:i/>
          <w:color w:val="0A0905"/>
          <w:lang w:val="sr-Latn-CS" w:eastAsia="sr-Latn-CS"/>
        </w:rPr>
        <w:t>g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Cyrl-CS" w:eastAsia="sr-Latn-CS"/>
        </w:rPr>
        <w:t>и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813D98">
        <w:rPr>
          <w:rFonts w:cs="Arial"/>
          <w:i/>
          <w:color w:val="0A0905"/>
          <w:lang w:val="sr-Latn-CS" w:eastAsia="sr-Latn-CS"/>
        </w:rPr>
        <w:t>h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требало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B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дају</w:t>
      </w:r>
      <w:r w:rsidRPr="0095267B">
        <w:rPr>
          <w:rFonts w:cs="Arial"/>
          <w:lang w:val="it-IT"/>
        </w:rPr>
        <w:t xml:space="preserve"> 3 </w:t>
      </w:r>
      <w:r>
        <w:rPr>
          <w:rFonts w:cs="Arial"/>
          <w:lang w:val="it-IT"/>
        </w:rPr>
        <w:t>смрти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преостали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члан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групе </w:t>
      </w:r>
      <w:r w:rsidRPr="000C6780">
        <w:rPr>
          <w:rFonts w:cs="Arial"/>
          <w:color w:val="0A0905"/>
          <w:lang w:val="sr-Latn-CS" w:eastAsia="sr-Latn-CS"/>
        </w:rPr>
        <w:t>B</w:t>
      </w:r>
      <w:r>
        <w:rPr>
          <w:rFonts w:cs="Arial"/>
          <w:lang w:val="it-IT"/>
        </w:rPr>
        <w:t xml:space="preserve"> 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буде</w:t>
      </w:r>
      <w:r w:rsidRPr="0095267B">
        <w:rPr>
          <w:rFonts w:cs="Arial"/>
          <w:lang w:val="it-IT"/>
        </w:rPr>
        <w:t xml:space="preserve"> </w:t>
      </w:r>
      <w:r w:rsidRPr="005041C3">
        <w:rPr>
          <w:rFonts w:cs="Arial"/>
          <w:i/>
          <w:color w:val="0A0905"/>
          <w:lang w:val="sr-Latn-CS" w:eastAsia="sr-Latn-CS"/>
        </w:rPr>
        <w:t>a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5041C3">
        <w:rPr>
          <w:rFonts w:cs="Arial"/>
          <w:i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5041C3">
        <w:rPr>
          <w:rFonts w:cs="Arial"/>
          <w:i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5041C3">
        <w:rPr>
          <w:rFonts w:cs="Arial"/>
          <w:i/>
          <w:color w:val="0A0905"/>
          <w:lang w:val="sr-Latn-CS" w:eastAsia="sr-Latn-CS"/>
        </w:rPr>
        <w:t>d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или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5041C3">
        <w:rPr>
          <w:rFonts w:cs="Arial"/>
          <w:i/>
          <w:color w:val="0A0905"/>
          <w:lang w:val="sr-Latn-CS" w:eastAsia="sr-Latn-CS"/>
        </w:rPr>
        <w:t>e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CC3EDB">
        <w:rPr>
          <w:rFonts w:cs="Arial"/>
          <w:i/>
          <w:color w:val="0A0905"/>
          <w:lang w:val="sr-Latn-CS" w:eastAsia="sr-Latn-CS"/>
        </w:rPr>
        <w:t>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мо</w:t>
      </w:r>
      <w:r>
        <w:rPr>
          <w:rFonts w:cs="Arial"/>
          <w:lang w:val="sr-Cyrl-CS"/>
        </w:rPr>
        <w:t>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настати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30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sr-Cyrl-CS"/>
        </w:rPr>
        <w:t>Троје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преживелих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</w:t>
      </w:r>
      <w:r>
        <w:rPr>
          <w:rFonts w:cs="Arial"/>
          <w:lang w:val="sr-Cyrl-CS"/>
        </w:rPr>
        <w:t>гу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буд</w:t>
      </w:r>
      <w:r>
        <w:rPr>
          <w:rFonts w:cs="Arial"/>
          <w:lang w:val="sr-Cyrl-CS"/>
        </w:rPr>
        <w:t>у</w:t>
      </w:r>
      <w:r w:rsidRPr="0095267B">
        <w:rPr>
          <w:rFonts w:cs="Arial"/>
          <w:lang w:val="it-IT"/>
        </w:rPr>
        <w:t xml:space="preserve"> </w:t>
      </w:r>
      <w:r w:rsidRPr="00D4619E">
        <w:rPr>
          <w:rFonts w:cs="Arial"/>
          <w:i/>
          <w:color w:val="0A0905"/>
          <w:lang w:val="sr-Latn-CS" w:eastAsia="sr-Latn-CS"/>
        </w:rPr>
        <w:t>abc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abd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abe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acd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ace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ade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bcd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bce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bde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D4619E">
        <w:rPr>
          <w:rFonts w:cs="Arial"/>
          <w:i/>
          <w:color w:val="0A0905"/>
          <w:lang w:val="sr-Latn-CS" w:eastAsia="sr-Latn-CS"/>
        </w:rPr>
        <w:t>cde</w:t>
      </w:r>
      <w:r w:rsidRPr="000C6780">
        <w:rPr>
          <w:rFonts w:cs="Arial"/>
          <w:color w:val="0A0905"/>
          <w:lang w:val="sr-Latn-CS" w:eastAsia="sr-Latn-CS"/>
        </w:rPr>
        <w:t>,</w:t>
      </w:r>
      <w:r w:rsidRPr="0095267B">
        <w:rPr>
          <w:rFonts w:cs="Arial"/>
          <w:lang w:val="it-IT"/>
        </w:rPr>
        <w:t xml:space="preserve"> 10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Смрт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>
        <w:rPr>
          <w:rFonts w:cs="Arial"/>
          <w:lang w:val="sr-Cyrl-CS"/>
        </w:rPr>
        <w:t xml:space="preserve"> групи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 w:rsidRPr="00870381">
        <w:rPr>
          <w:rFonts w:cs="Arial"/>
          <w:i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870381">
        <w:rPr>
          <w:rFonts w:cs="Arial"/>
          <w:i/>
          <w:color w:val="0A0905"/>
          <w:lang w:val="sr-Latn-CS" w:eastAsia="sr-Latn-CS"/>
        </w:rPr>
        <w:t>g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или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870381">
        <w:rPr>
          <w:rFonts w:cs="Arial"/>
          <w:i/>
          <w:color w:val="0A0905"/>
          <w:lang w:val="sr-Latn-CS" w:eastAsia="sr-Latn-CS"/>
        </w:rPr>
        <w:t>h</w:t>
      </w:r>
      <w:r w:rsidRPr="0095267B">
        <w:rPr>
          <w:rFonts w:cs="Arial"/>
          <w:lang w:val="it-IT"/>
        </w:rPr>
        <w:t xml:space="preserve">, 3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Дакле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група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састављена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</w:t>
      </w:r>
      <w:r w:rsidRPr="0095267B">
        <w:rPr>
          <w:rFonts w:cs="Arial"/>
          <w:lang w:val="it-IT"/>
        </w:rPr>
        <w:t xml:space="preserve"> 10 </w:t>
      </w:r>
      <w:r>
        <w:rPr>
          <w:rFonts w:cs="Arial"/>
          <w:lang w:val="sr-Latn-CS"/>
        </w:rPr>
        <w:t>x</w:t>
      </w:r>
      <w:r w:rsidRPr="0095267B">
        <w:rPr>
          <w:rFonts w:cs="Arial"/>
          <w:lang w:val="it-IT"/>
        </w:rPr>
        <w:t xml:space="preserve"> 3 = 30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8A6133">
        <w:rPr>
          <w:rFonts w:cs="Arial"/>
          <w:i/>
          <w:color w:val="0A0905"/>
          <w:lang w:val="sr-Latn-CS" w:eastAsia="sr-Latn-CS"/>
        </w:rPr>
        <w:t>iii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243AD6">
        <w:rPr>
          <w:rFonts w:cs="Arial"/>
          <w:i/>
          <w:color w:val="0A0905"/>
          <w:lang w:val="sr-Latn-CS" w:eastAsia="sr-Latn-CS"/>
        </w:rPr>
        <w:t>ii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>
        <w:rPr>
          <w:rFonts w:cs="Arial"/>
          <w:lang w:val="sr-Cyrl-CS"/>
        </w:rPr>
        <w:t>преокренутим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настаје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30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DB1300">
        <w:rPr>
          <w:rFonts w:cs="Arial"/>
          <w:i/>
          <w:color w:val="0A0905"/>
          <w:lang w:val="sr-Latn-CS" w:eastAsia="sr-Latn-CS"/>
        </w:rPr>
        <w:t>iv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иста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243AD6">
        <w:rPr>
          <w:rFonts w:cs="Arial"/>
          <w:i/>
          <w:color w:val="0A0905"/>
          <w:lang w:val="sr-Latn-CS" w:eastAsia="sr-Latn-CS"/>
        </w:rPr>
        <w:t>i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B </w:t>
      </w:r>
      <w:r>
        <w:rPr>
          <w:rFonts w:cs="Arial"/>
          <w:lang w:val="sr-Cyrl-CS"/>
        </w:rPr>
        <w:t>преокренутим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јавља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на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>.</w:t>
      </w:r>
    </w:p>
    <w:p w:rsidR="00A97D17" w:rsidRPr="00455B4D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Стога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организовати</w:t>
      </w:r>
      <w:r w:rsidRPr="0095267B">
        <w:rPr>
          <w:rFonts w:cs="Arial"/>
          <w:lang w:val="it-IT"/>
        </w:rPr>
        <w:t xml:space="preserve"> 8 </w:t>
      </w:r>
      <w:r>
        <w:rPr>
          <w:rFonts w:cs="Arial"/>
          <w:lang w:val="it-IT"/>
        </w:rPr>
        <w:t>пацијената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2 </w:t>
      </w:r>
      <w:r>
        <w:rPr>
          <w:rFonts w:cs="Arial"/>
          <w:lang w:val="it-IT"/>
        </w:rPr>
        <w:t>групе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4 </w:t>
      </w:r>
      <w:r>
        <w:rPr>
          <w:rFonts w:cs="Arial"/>
          <w:lang w:val="sr-Cyrl-CS"/>
        </w:rPr>
        <w:t xml:space="preserve">на </w:t>
      </w:r>
      <w:r w:rsidRPr="0095267B">
        <w:rPr>
          <w:rFonts w:cs="Arial"/>
          <w:lang w:val="it-IT"/>
        </w:rPr>
        <w:t xml:space="preserve">5 + 30 + 30 + 5 = 70 </w:t>
      </w:r>
      <w:r>
        <w:rPr>
          <w:rFonts w:cs="Arial"/>
          <w:lang w:val="it-IT"/>
        </w:rPr>
        <w:t>начина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Сада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</w:t>
      </w:r>
      <w:r>
        <w:rPr>
          <w:rFonts w:cs="Arial"/>
          <w:lang w:val="sr-Cyrl-CS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комбинациј</w:t>
      </w:r>
      <w:r>
        <w:rPr>
          <w:rFonts w:cs="Arial"/>
          <w:lang w:val="sr-Cyrl-CS"/>
        </w:rPr>
        <w:t>е</w:t>
      </w:r>
      <w:r>
        <w:rPr>
          <w:rFonts w:cs="Arial"/>
          <w:lang w:val="it-IT"/>
        </w:rPr>
        <w:t xml:space="preserve"> настал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случајно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1/70, </w:t>
      </w:r>
      <w:r>
        <w:rPr>
          <w:rFonts w:cs="Arial"/>
          <w:lang w:val="it-IT"/>
        </w:rPr>
        <w:t>јер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подједнако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тачна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AE608A">
        <w:rPr>
          <w:rFonts w:cs="Arial"/>
          <w:i/>
          <w:color w:val="0A0905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/>
        </w:rPr>
        <w:t>настаје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5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70 </w:t>
      </w:r>
      <w:r>
        <w:rPr>
          <w:rFonts w:cs="Arial"/>
          <w:lang w:val="it-IT"/>
        </w:rPr>
        <w:t>комбинација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5/70 = 0.071.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4F027F">
        <w:rPr>
          <w:rFonts w:cs="Arial"/>
          <w:i/>
          <w:color w:val="0A0905"/>
          <w:lang w:val="sr-Latn-CS" w:eastAsia="sr-Latn-CS"/>
        </w:rPr>
        <w:t>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Cyrl-CS"/>
        </w:rPr>
        <w:t>настаје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</w:t>
      </w:r>
      <w:r w:rsidRPr="0095267B">
        <w:rPr>
          <w:rFonts w:cs="Arial"/>
          <w:lang w:val="it-IT"/>
        </w:rPr>
        <w:t xml:space="preserve"> 30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70 </w:t>
      </w:r>
      <w:r>
        <w:rPr>
          <w:rFonts w:cs="Arial"/>
          <w:lang w:val="it-IT"/>
        </w:rPr>
        <w:t>комбинација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тако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30/70 = 0.429. </w:t>
      </w:r>
      <w:r>
        <w:rPr>
          <w:rFonts w:cs="Arial"/>
          <w:lang w:val="it-IT"/>
        </w:rPr>
        <w:t>Слично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томе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53767A">
        <w:rPr>
          <w:rFonts w:cs="Arial"/>
          <w:i/>
          <w:color w:val="0A0905"/>
          <w:lang w:val="sr-Latn-CS" w:eastAsia="sr-Latn-CS"/>
        </w:rPr>
        <w:t>iii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30/70 = 0.429,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абела</w:t>
      </w:r>
      <w:r w:rsidRPr="0095267B">
        <w:rPr>
          <w:rFonts w:cs="Arial"/>
          <w:lang w:val="it-IT"/>
        </w:rPr>
        <w:t xml:space="preserve"> </w:t>
      </w:r>
      <w:r w:rsidRPr="006D2CAB">
        <w:rPr>
          <w:rFonts w:cs="Arial"/>
          <w:i/>
          <w:color w:val="0A0905"/>
          <w:lang w:val="sr-Latn-CS" w:eastAsia="sr-Latn-CS"/>
        </w:rPr>
        <w:t>iv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5/70 = 0</w:t>
      </w:r>
      <w:r>
        <w:rPr>
          <w:rFonts w:cs="Arial"/>
          <w:lang w:val="sr-Cyrl-CS"/>
        </w:rPr>
        <w:t>.</w:t>
      </w:r>
      <w:r w:rsidRPr="0095267B">
        <w:rPr>
          <w:rFonts w:cs="Arial"/>
          <w:lang w:val="it-IT"/>
        </w:rPr>
        <w:t>071.</w:t>
      </w:r>
    </w:p>
    <w:p w:rsidR="00A97D17" w:rsidRPr="0095267B" w:rsidRDefault="00A97D17" w:rsidP="00A97D17">
      <w:pPr>
        <w:spacing w:before="0"/>
        <w:ind w:firstLine="720"/>
        <w:rPr>
          <w:rFonts w:cs="Arial"/>
          <w:lang w:val="sv-SE"/>
        </w:rPr>
      </w:pPr>
      <w:r>
        <w:rPr>
          <w:rFonts w:cs="Arial"/>
          <w:lang w:val="it-IT"/>
        </w:rPr>
        <w:t>Стога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по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нултој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хипотези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повезаност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између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лечења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преживљања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 w:rsidRPr="000A65E3">
        <w:rPr>
          <w:rFonts w:cs="Arial"/>
          <w:i/>
          <w:color w:val="0A0905"/>
          <w:lang w:val="sr-Latn-CS" w:eastAsia="sr-Latn-CS"/>
        </w:rPr>
        <w:t>ii</w:t>
      </w:r>
      <w:r>
        <w:rPr>
          <w:rFonts w:cs="Arial"/>
          <w:color w:val="0A0905"/>
          <w:lang w:val="sr-Cyrl-CS" w:eastAsia="sr-Latn-CS"/>
        </w:rPr>
        <w:t xml:space="preserve"> (Табела 10.9)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посматрали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0.429. </w:t>
      </w:r>
      <w:r>
        <w:rPr>
          <w:rFonts w:cs="Arial"/>
          <w:lang w:val="sv-SE"/>
        </w:rPr>
        <w:t>Лако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могла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настати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случај</w:t>
      </w:r>
      <w:r>
        <w:rPr>
          <w:rFonts w:cs="Arial"/>
          <w:lang w:val="sr-Cyrl-CS"/>
        </w:rPr>
        <w:t>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складу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нултом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хипотезом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Као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делу 6</w:t>
      </w:r>
      <w:r w:rsidRPr="0095267B">
        <w:rPr>
          <w:rFonts w:cs="Arial"/>
          <w:lang w:val="sv-SE"/>
        </w:rPr>
        <w:t xml:space="preserve">.2, </w:t>
      </w:r>
      <w:r>
        <w:rPr>
          <w:rFonts w:cs="Arial"/>
          <w:lang w:val="sv-SE"/>
        </w:rPr>
        <w:t>морамо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такође </w:t>
      </w:r>
      <w:r>
        <w:rPr>
          <w:rFonts w:cs="Arial"/>
          <w:lang w:val="sv-SE"/>
        </w:rPr>
        <w:t>узети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обзир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екстремније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овом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случају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постоји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још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екстремнија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правцу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разлике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r-Cyrl-CS"/>
        </w:rPr>
        <w:t>т</w:t>
      </w:r>
      <w:r>
        <w:rPr>
          <w:rFonts w:cs="Arial"/>
          <w:lang w:val="sv-SE"/>
        </w:rPr>
        <w:t>абела</w:t>
      </w:r>
      <w:r w:rsidRPr="0095267B">
        <w:rPr>
          <w:rFonts w:cs="Arial"/>
          <w:lang w:val="sv-SE"/>
        </w:rPr>
        <w:t xml:space="preserve"> </w:t>
      </w:r>
      <w:r w:rsidRPr="000A65E3">
        <w:rPr>
          <w:rFonts w:cs="Arial"/>
          <w:i/>
          <w:color w:val="0A0905"/>
          <w:lang w:val="sr-Latn-CS" w:eastAsia="sr-Latn-CS"/>
        </w:rPr>
        <w:t>i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правцу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разлике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вероватноћа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или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више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екстремне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0.071 + 0.429 = 0.5. O</w:t>
      </w:r>
      <w:r>
        <w:rPr>
          <w:rFonts w:cs="Arial"/>
          <w:lang w:val="sv-SE"/>
        </w:rPr>
        <w:t>во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>
        <w:rPr>
          <w:rFonts w:cs="Arial"/>
          <w:lang w:val="sv-SE"/>
        </w:rPr>
        <w:t>вредност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</w:t>
      </w:r>
      <w:r>
        <w:rPr>
          <w:rFonts w:cs="Arial"/>
          <w:lang w:val="sr-Cyrl-CS"/>
        </w:rPr>
        <w:t>о-</w:t>
      </w:r>
      <w:r>
        <w:rPr>
          <w:rFonts w:cs="Arial"/>
          <w:lang w:val="sv-SE"/>
        </w:rPr>
        <w:t>страни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</w:t>
      </w:r>
      <w:r w:rsidRPr="0095267B">
        <w:rPr>
          <w:rFonts w:cs="Arial"/>
          <w:lang w:val="sv-SE"/>
        </w:rPr>
        <w:t xml:space="preserve"> (</w:t>
      </w:r>
      <w:r>
        <w:rPr>
          <w:rFonts w:cs="Arial"/>
          <w:lang w:val="sr-Cyrl-CS"/>
        </w:rPr>
        <w:t>део 6</w:t>
      </w:r>
      <w:r w:rsidRPr="0095267B">
        <w:rPr>
          <w:rFonts w:cs="Arial"/>
          <w:lang w:val="sv-SE"/>
        </w:rPr>
        <w:t>.5).</w:t>
      </w:r>
    </w:p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sv-SE"/>
        </w:rPr>
        <w:t>Fisher-ов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 тачне вероватноће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суштини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једностран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Није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јасно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шта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била одговарајућа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одступања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другом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правцу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посебно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када су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све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маргиналне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укупне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вредности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различите</w:t>
      </w:r>
      <w:r w:rsidRPr="0095267B">
        <w:rPr>
          <w:rFonts w:cs="Arial"/>
          <w:lang w:val="sv-SE"/>
        </w:rPr>
        <w:t>. O</w:t>
      </w:r>
      <w:r>
        <w:rPr>
          <w:rFonts w:cs="Arial"/>
          <w:lang w:val="sv-SE"/>
        </w:rPr>
        <w:t>во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што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том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случају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асиметрична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оних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у деловима 9.2-9.5. </w:t>
      </w:r>
      <w:r>
        <w:rPr>
          <w:rFonts w:cs="Arial"/>
          <w:lang w:val="it-IT"/>
        </w:rPr>
        <w:t>Једно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удвостручи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једнострана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дво</w:t>
      </w:r>
      <w:r>
        <w:rPr>
          <w:rFonts w:cs="Arial"/>
          <w:lang w:val="sr-Cyrl-CS"/>
        </w:rPr>
        <w:t>-</w:t>
      </w:r>
      <w:r>
        <w:rPr>
          <w:rFonts w:cs="Arial"/>
          <w:lang w:val="it-IT"/>
        </w:rPr>
        <w:t>страни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потребно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Следи</w:t>
      </w:r>
      <w:r>
        <w:rPr>
          <w:rFonts w:cs="Arial"/>
          <w:lang w:val="sr-Cyrl-CS"/>
        </w:rPr>
        <w:t>ли смо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Armitage </w:t>
      </w:r>
      <w:r>
        <w:rPr>
          <w:rFonts w:cs="Arial"/>
          <w:color w:val="0A0905"/>
          <w:lang w:val="sr-Cyrl-CS" w:eastAsia="sr-Latn-CS"/>
        </w:rPr>
        <w:t>и</w:t>
      </w:r>
      <w:r w:rsidRPr="000C6780">
        <w:rPr>
          <w:rFonts w:cs="Arial"/>
          <w:color w:val="0A0905"/>
          <w:lang w:val="sr-Latn-CS" w:eastAsia="sr-Latn-CS"/>
        </w:rPr>
        <w:t xml:space="preserve"> Berry</w:t>
      </w:r>
      <w:r>
        <w:rPr>
          <w:rFonts w:cs="Arial"/>
          <w:color w:val="0A0905"/>
          <w:lang w:val="sr-Cyrl-CS" w:eastAsia="sr-Latn-CS"/>
        </w:rPr>
        <w:t>-ја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/>
        </w:rPr>
        <w:t xml:space="preserve">(1994) </w:t>
      </w:r>
      <w:r>
        <w:rPr>
          <w:rFonts w:cs="Arial"/>
          <w:lang w:val="it-IT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преферирању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опције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Друго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решење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израчунају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</w:t>
      </w:r>
      <w:r>
        <w:rPr>
          <w:rFonts w:cs="Arial"/>
          <w:lang w:val="sr-Cyrl-CS"/>
        </w:rPr>
        <w:t>аку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</w:t>
      </w:r>
      <w:r>
        <w:rPr>
          <w:rFonts w:cs="Arial"/>
          <w:lang w:val="sr-Cyrl-CS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</w:t>
      </w:r>
      <w:r>
        <w:rPr>
          <w:rFonts w:cs="Arial"/>
          <w:lang w:val="sr-Cyrl-CS"/>
        </w:rPr>
        <w:t>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саберу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једнаке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дале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>. O</w:t>
      </w:r>
      <w:r>
        <w:rPr>
          <w:rFonts w:cs="Arial"/>
          <w:lang w:val="it-IT"/>
        </w:rPr>
        <w:t>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мању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>
        <w:rPr>
          <w:rFonts w:cs="Arial"/>
          <w:lang w:val="it-IT"/>
        </w:rPr>
        <w:t>вредност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метода</w:t>
      </w:r>
      <w:r w:rsidRPr="00B31765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дуплира</w:t>
      </w:r>
      <w:r>
        <w:rPr>
          <w:rFonts w:cs="Arial"/>
          <w:lang w:val="sr-Cyrl-CS"/>
        </w:rPr>
        <w:t>ња (</w:t>
      </w:r>
      <w:r w:rsidRPr="00B369FC">
        <w:rPr>
          <w:rFonts w:cs="Arial"/>
          <w:i/>
          <w:color w:val="0A0905"/>
          <w:lang w:val="sr-Latn-CS" w:eastAsia="sr-Latn-CS"/>
        </w:rPr>
        <w:t>doubling method</w:t>
      </w:r>
      <w:r>
        <w:rPr>
          <w:rFonts w:cs="Arial"/>
          <w:lang w:val="sr-Cyrl-CS"/>
        </w:rPr>
        <w:t>)</w:t>
      </w:r>
      <w:r w:rsidRPr="0095267B">
        <w:rPr>
          <w:rFonts w:cs="Arial"/>
          <w:lang w:val="it-IT"/>
        </w:rPr>
        <w:t>.</w:t>
      </w:r>
    </w:p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  <w:lang w:val="it-IT"/>
        </w:rPr>
        <w:t>Нема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потребе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наброје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горе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наћи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из </w:t>
      </w:r>
      <w:r>
        <w:rPr>
          <w:rFonts w:cs="Arial"/>
          <w:lang w:val="it-IT"/>
        </w:rPr>
        <w:t>једноставн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формул</w:t>
      </w:r>
      <w:r>
        <w:rPr>
          <w:rFonts w:cs="Arial"/>
          <w:lang w:val="sr-Cyrl-CS"/>
        </w:rPr>
        <w:t>е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Вероватноћ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посматра</w:t>
      </w:r>
      <w:r>
        <w:rPr>
          <w:rFonts w:cs="Arial"/>
          <w:lang w:val="sr-Cyrl-CS"/>
        </w:rPr>
        <w:t>ног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</w:t>
      </w:r>
      <w:r>
        <w:rPr>
          <w:rFonts w:cs="Arial"/>
          <w:lang w:val="sr-Cyrl-CS"/>
        </w:rPr>
        <w:t>купа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учесталости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vertAlign w:val="subscript"/>
          <w:lang w:val="sr-Latn-CS" w:eastAsia="sr-Latn-CS"/>
        </w:rPr>
        <w:t>11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vertAlign w:val="subscript"/>
          <w:lang w:val="sr-Latn-CS" w:eastAsia="sr-Latn-CS"/>
        </w:rPr>
        <w:t>12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vertAlign w:val="subscript"/>
          <w:lang w:val="sr-Latn-CS" w:eastAsia="sr-Latn-CS"/>
        </w:rPr>
        <w:t>21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f</w:t>
      </w:r>
      <w:r w:rsidRPr="000C6780">
        <w:rPr>
          <w:rFonts w:cs="Arial"/>
          <w:color w:val="0A0905"/>
          <w:vertAlign w:val="subscript"/>
          <w:lang w:val="sr-Latn-CS" w:eastAsia="sr-Latn-CS"/>
        </w:rPr>
        <w:t>22</w:t>
      </w:r>
      <w:r w:rsidRPr="000C6780">
        <w:rPr>
          <w:rFonts w:cs="Arial"/>
          <w:color w:val="0A0905"/>
          <w:lang w:val="sr-Latn-CS" w:eastAsia="sr-Latn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укупне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вредности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0C6780">
        <w:rPr>
          <w:rFonts w:cs="Arial"/>
          <w:color w:val="0A0905"/>
          <w:lang w:val="sr-Latn-CS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vertAlign w:val="subscript"/>
          <w:lang w:val="sr-Latn-CS" w:eastAsia="sr-Latn-CS"/>
        </w:rPr>
        <w:t>1</w:t>
      </w:r>
      <w:r w:rsidRPr="000C6780">
        <w:rPr>
          <w:rFonts w:cs="Arial"/>
          <w:color w:val="0A0905"/>
          <w:lang w:val="sr-Latn-CS" w:eastAsia="sr-Latn-CS"/>
        </w:rPr>
        <w:t>,</w:t>
      </w:r>
      <w:r w:rsidRPr="00143720">
        <w:rPr>
          <w:rFonts w:cs="Arial"/>
          <w:color w:val="0A0905"/>
          <w:lang w:val="it-IT" w:eastAsia="sr-Latn-CS"/>
        </w:rPr>
        <w:t xml:space="preserve"> </w:t>
      </w:r>
      <w:r>
        <w:rPr>
          <w:rFonts w:cs="Arial"/>
          <w:color w:val="0A0905"/>
          <w:lang w:eastAsia="sr-Latn-CS"/>
        </w:rPr>
        <w:t>и</w:t>
      </w:r>
      <w:r w:rsidRPr="00143720">
        <w:rPr>
          <w:rFonts w:cs="Arial"/>
          <w:color w:val="0A0905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c</w:t>
      </w:r>
      <w:r w:rsidRPr="000C6780">
        <w:rPr>
          <w:rFonts w:cs="Arial"/>
          <w:color w:val="0A0905"/>
          <w:vertAlign w:val="subscript"/>
          <w:lang w:val="sr-Latn-CS" w:eastAsia="sr-Latn-CS"/>
        </w:rPr>
        <w:t>2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свеукупн</w:t>
      </w:r>
      <w:r>
        <w:rPr>
          <w:rFonts w:cs="Arial"/>
          <w:lang w:val="sr-Cyrl-CS"/>
        </w:rPr>
        <w:t>а вредност</w:t>
      </w:r>
      <w:r w:rsidRPr="000C6780">
        <w:rPr>
          <w:rFonts w:cs="Arial"/>
          <w:i/>
          <w:iCs/>
          <w:color w:val="0A0905"/>
          <w:lang w:val="sr-Latn-CS" w:eastAsia="sr-Latn-CS"/>
        </w:rPr>
        <w:t xml:space="preserve"> n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је</w:t>
      </w:r>
    </w:p>
    <w:p w:rsidR="00A97D17" w:rsidRPr="0095267B" w:rsidRDefault="00A97D17" w:rsidP="00A97D17">
      <w:pPr>
        <w:pStyle w:val="Equation1"/>
        <w:rPr>
          <w:lang w:eastAsia="sr-Latn-CS"/>
        </w:rPr>
      </w:pPr>
      <w:r w:rsidRPr="004C6093">
        <w:rPr>
          <w:position w:val="-26"/>
          <w:lang w:eastAsia="sr-Latn-CS"/>
        </w:rPr>
        <w:object w:dxaOrig="1480" w:dyaOrig="600">
          <v:shape id="_x0000_i1036" type="#_x0000_t75" style="width:73.75pt;height:29.95pt" o:ole="">
            <v:imagedata r:id="rId31" o:title=""/>
          </v:shape>
          <o:OLEObject Type="Embed" ProgID="Equation.3" ShapeID="_x0000_i1036" DrawAspect="Content" ObjectID="_1602945745" r:id="rId32"/>
        </w:object>
      </w:r>
    </w:p>
    <w:p w:rsidR="00A97D17" w:rsidRDefault="00A97D17" w:rsidP="00A97D17">
      <w:pPr>
        <w:ind w:firstLine="567"/>
        <w:rPr>
          <w:rFonts w:cs="Arial"/>
          <w:color w:val="auto"/>
          <w:lang w:val="sr-Cyrl-CS"/>
        </w:rPr>
      </w:pPr>
      <w:r w:rsidRPr="00B07F33">
        <w:rPr>
          <w:rFonts w:cs="Arial"/>
          <w:color w:val="auto"/>
          <w:lang w:val="it-IT"/>
        </w:rPr>
        <w:t xml:space="preserve">Oво можемо израчунати за сваку могућу табелу и тако </w:t>
      </w:r>
      <w:r w:rsidRPr="00B07F33">
        <w:rPr>
          <w:rFonts w:cs="Arial"/>
          <w:color w:val="auto"/>
          <w:lang w:val="sr-Cyrl-CS"/>
        </w:rPr>
        <w:t>про</w:t>
      </w:r>
      <w:r w:rsidRPr="00B07F33">
        <w:rPr>
          <w:rFonts w:cs="Arial"/>
          <w:color w:val="auto"/>
          <w:lang w:val="it-IT"/>
        </w:rPr>
        <w:t xml:space="preserve">наћи вероватноћу за посматрану табелу, и за сваку екстремнију табелу. </w:t>
      </w:r>
    </w:p>
    <w:p w:rsidR="00A97D17" w:rsidRDefault="00A97D17" w:rsidP="00A97D17">
      <w:pPr>
        <w:spacing w:before="0"/>
        <w:rPr>
          <w:rFonts w:cs="Arial"/>
          <w:lang w:val="sr-Cyrl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326"/>
      </w:tblGrid>
      <w:tr w:rsidR="00A97D17" w:rsidRPr="004677DC" w:rsidTr="00297606">
        <w:trPr>
          <w:tblCellSpacing w:w="0" w:type="dxa"/>
          <w:jc w:val="center"/>
        </w:trPr>
        <w:tc>
          <w:tcPr>
            <w:tcW w:w="6326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A97D17" w:rsidRPr="004677DC" w:rsidRDefault="00A97D17" w:rsidP="00297606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10.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>9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4677DC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/>
              </w:rPr>
              <w:t>Могуће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за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укупне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вредности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табеле</w:t>
            </w:r>
            <w:r w:rsidRPr="0095267B">
              <w:rPr>
                <w:rFonts w:cs="Arial"/>
                <w:lang w:val="it-IT"/>
              </w:rPr>
              <w:t xml:space="preserve"> </w:t>
            </w:r>
            <w:r>
              <w:rPr>
                <w:rFonts w:cs="Arial"/>
                <w:lang w:val="it-IT"/>
              </w:rPr>
              <w:t>10.</w:t>
            </w:r>
            <w:r w:rsidRPr="0095267B">
              <w:rPr>
                <w:rFonts w:cs="Arial"/>
                <w:lang w:val="it-IT"/>
              </w:rPr>
              <w:t>8</w:t>
            </w:r>
          </w:p>
        </w:tc>
      </w:tr>
      <w:tr w:rsidR="00A97D17" w:rsidRPr="004677DC" w:rsidTr="00297606">
        <w:trPr>
          <w:trHeight w:val="653"/>
          <w:tblCellSpacing w:w="0" w:type="dxa"/>
          <w:jc w:val="center"/>
        </w:trPr>
        <w:tc>
          <w:tcPr>
            <w:tcW w:w="6326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753"/>
              <w:gridCol w:w="1162"/>
              <w:gridCol w:w="1454"/>
              <w:gridCol w:w="1001"/>
              <w:gridCol w:w="1480"/>
            </w:tblGrid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 w:val="restart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i.</w:t>
                  </w: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B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ii</w:t>
                  </w:r>
                </w:p>
              </w:tc>
              <w:tc>
                <w:tcPr>
                  <w:tcW w:w="1162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45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0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148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B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iii.</w:t>
                  </w:r>
                </w:p>
              </w:tc>
              <w:tc>
                <w:tcPr>
                  <w:tcW w:w="1162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45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0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148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2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B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iv.</w:t>
                  </w:r>
                </w:p>
              </w:tc>
              <w:tc>
                <w:tcPr>
                  <w:tcW w:w="1162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1454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Преживели</w:t>
                  </w:r>
                </w:p>
              </w:tc>
              <w:tc>
                <w:tcPr>
                  <w:tcW w:w="1001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Умрли</w:t>
                  </w:r>
                </w:p>
              </w:tc>
              <w:tc>
                <w:tcPr>
                  <w:tcW w:w="1480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A97D17" w:rsidRPr="008A3220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Cyrl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Latn-CS" w:eastAsia="sr-Latn-CS"/>
                    </w:rPr>
                    <w:t>А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1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B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4</w:t>
                  </w:r>
                </w:p>
              </w:tc>
            </w:tr>
            <w:tr w:rsidR="00A97D17" w:rsidRPr="004677DC" w:rsidTr="00297606">
              <w:trPr>
                <w:tblCellSpacing w:w="0" w:type="dxa"/>
              </w:trPr>
              <w:tc>
                <w:tcPr>
                  <w:tcW w:w="753" w:type="dxa"/>
                  <w:vMerge/>
                  <w:vAlign w:val="center"/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</w:p>
              </w:tc>
              <w:tc>
                <w:tcPr>
                  <w:tcW w:w="1162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color w:val="0A0905"/>
                      <w:lang w:val="sr-Cyrl-CS" w:eastAsia="sr-Latn-CS"/>
                    </w:rPr>
                    <w:t>Укупно</w:t>
                  </w:r>
                </w:p>
              </w:tc>
              <w:tc>
                <w:tcPr>
                  <w:tcW w:w="1454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5</w:t>
                  </w:r>
                </w:p>
              </w:tc>
              <w:tc>
                <w:tcPr>
                  <w:tcW w:w="1001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3</w:t>
                  </w:r>
                </w:p>
              </w:tc>
              <w:tc>
                <w:tcPr>
                  <w:tcW w:w="148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A97D17" w:rsidRPr="004677DC" w:rsidRDefault="00A97D17" w:rsidP="0029760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4677DC">
                    <w:rPr>
                      <w:rFonts w:cs="Arial"/>
                      <w:color w:val="0A0905"/>
                      <w:lang w:val="sr-Latn-CS" w:eastAsia="sr-Latn-CS"/>
                    </w:rPr>
                    <w:t>8</w:t>
                  </w:r>
                </w:p>
              </w:tc>
            </w:tr>
          </w:tbl>
          <w:p w:rsidR="00A97D17" w:rsidRPr="004677DC" w:rsidRDefault="00A97D17" w:rsidP="00297606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A97D17" w:rsidRDefault="00A97D17" w:rsidP="00A97D17">
      <w:pPr>
        <w:spacing w:before="0"/>
        <w:ind w:firstLine="720"/>
        <w:rPr>
          <w:rFonts w:cs="Arial"/>
          <w:lang w:val="sr-Cyrl-CS"/>
        </w:rPr>
      </w:pPr>
    </w:p>
    <w:p w:rsidR="00A97D17" w:rsidRPr="0095267B" w:rsidRDefault="00A97D17" w:rsidP="00A97D17">
      <w:pPr>
        <w:spacing w:before="0" w:after="120"/>
        <w:ind w:firstLine="720"/>
        <w:rPr>
          <w:rFonts w:cs="Arial"/>
          <w:lang w:val="it-IT"/>
        </w:rPr>
      </w:pP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разлику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тачне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вероватноће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статистику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рангова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ова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прилично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једноставна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израчунавање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али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тешка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подели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табеле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it-IT"/>
        </w:rPr>
        <w:t>Добра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захтева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малу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књигу</w:t>
      </w:r>
      <w:r w:rsidRPr="0095267B">
        <w:rPr>
          <w:rFonts w:cs="Arial"/>
          <w:lang w:val="it-IT"/>
        </w:rPr>
        <w:t xml:space="preserve"> (</w:t>
      </w:r>
      <w:r w:rsidRPr="000C6780">
        <w:rPr>
          <w:rFonts w:cs="Arial"/>
          <w:color w:val="0A0905"/>
          <w:lang w:val="sr-Latn-CS" w:eastAsia="sr-Latn-CS"/>
        </w:rPr>
        <w:t xml:space="preserve">Finney </w:t>
      </w:r>
      <w:r>
        <w:rPr>
          <w:rFonts w:cs="Arial"/>
          <w:i/>
          <w:iCs/>
          <w:color w:val="0A0905"/>
          <w:lang w:val="sr-Latn-CS" w:eastAsia="sr-Latn-CS"/>
        </w:rPr>
        <w:t xml:space="preserve">и други </w:t>
      </w:r>
      <w:r w:rsidRPr="0095267B">
        <w:rPr>
          <w:rFonts w:cs="Arial"/>
          <w:lang w:val="it-IT"/>
        </w:rPr>
        <w:t xml:space="preserve">1963). </w:t>
      </w:r>
      <w:r>
        <w:rPr>
          <w:rFonts w:cs="Arial"/>
          <w:lang w:val="it-IT"/>
        </w:rPr>
        <w:t>Можемо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применити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овај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10.</w:t>
      </w:r>
      <w:r w:rsidRPr="0095267B">
        <w:rPr>
          <w:rFonts w:cs="Arial"/>
          <w:lang w:val="it-IT"/>
        </w:rPr>
        <w:t xml:space="preserve">7. </w:t>
      </w:r>
      <w:r>
        <w:rPr>
          <w:rFonts w:cs="Arial"/>
          <w:lang w:val="sr-Cyrl-CS"/>
        </w:rPr>
        <w:t>Т</w:t>
      </w:r>
      <w:r>
        <w:rPr>
          <w:rFonts w:cs="Arial"/>
          <w:lang w:val="it-IT"/>
        </w:rPr>
        <w:t>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2 пута 2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 xml:space="preserve">које треба да </w:t>
      </w:r>
      <w:r>
        <w:rPr>
          <w:rFonts w:cs="Arial"/>
          <w:lang w:val="it-IT"/>
        </w:rPr>
        <w:t>буду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тестиране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њихове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>:</w:t>
      </w:r>
    </w:p>
    <w:tbl>
      <w:tblPr>
        <w:tblStyle w:val="TableGrid"/>
        <w:tblW w:w="0" w:type="auto"/>
        <w:tblInd w:w="1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/>
      </w:tblPr>
      <w:tblGrid>
        <w:gridCol w:w="1070"/>
        <w:gridCol w:w="1053"/>
        <w:gridCol w:w="1775"/>
      </w:tblGrid>
      <w:tr w:rsidR="00A97D17" w:rsidTr="00297606">
        <w:tc>
          <w:tcPr>
            <w:tcW w:w="2123" w:type="dxa"/>
            <w:gridSpan w:val="2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Табела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Вероватноћа</w:t>
            </w: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13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5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0.0013782</w:t>
            </w: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2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12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14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4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0.0000757</w:t>
            </w: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lastRenderedPageBreak/>
              <w:t>1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13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15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3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0.0000014</w:t>
            </w:r>
          </w:p>
        </w:tc>
      </w:tr>
      <w:tr w:rsidR="00A97D17" w:rsidTr="00297606">
        <w:tc>
          <w:tcPr>
            <w:tcW w:w="1070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0</w:t>
            </w:r>
          </w:p>
        </w:tc>
        <w:tc>
          <w:tcPr>
            <w:tcW w:w="1053" w:type="dxa"/>
            <w:shd w:val="clear" w:color="auto" w:fill="auto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  <w:r>
              <w:rPr>
                <w:rFonts w:cs="Arial"/>
                <w:lang w:val="sr-Cyrl-CS"/>
              </w:rPr>
              <w:t>14</w:t>
            </w:r>
          </w:p>
        </w:tc>
        <w:tc>
          <w:tcPr>
            <w:tcW w:w="1775" w:type="dxa"/>
          </w:tcPr>
          <w:p w:rsidR="00A97D17" w:rsidRDefault="00A97D17" w:rsidP="00297606">
            <w:pPr>
              <w:spacing w:before="40"/>
              <w:jc w:val="center"/>
              <w:rPr>
                <w:rFonts w:cs="Arial"/>
                <w:lang w:val="sr-Cyrl-CS"/>
              </w:rPr>
            </w:pPr>
          </w:p>
        </w:tc>
      </w:tr>
    </w:tbl>
    <w:p w:rsidR="00A97D17" w:rsidRDefault="00A97D17" w:rsidP="00A97D17">
      <w:pPr>
        <w:spacing w:before="0"/>
        <w:ind w:firstLine="720"/>
        <w:rPr>
          <w:rFonts w:cs="Arial"/>
        </w:rPr>
      </w:pPr>
    </w:p>
    <w:p w:rsidR="00A97D17" w:rsidRPr="0095267B" w:rsidRDefault="00A97D17" w:rsidP="00A97D17">
      <w:pPr>
        <w:spacing w:before="0"/>
        <w:ind w:firstLine="720"/>
        <w:rPr>
          <w:rFonts w:cs="Arial"/>
        </w:rPr>
      </w:pPr>
      <w:r>
        <w:rPr>
          <w:rFonts w:cs="Arial"/>
        </w:rPr>
        <w:t>Укупна</w:t>
      </w:r>
      <w:r w:rsidRPr="0095267B">
        <w:rPr>
          <w:rFonts w:cs="Arial"/>
        </w:rPr>
        <w:t xml:space="preserve"> </w:t>
      </w:r>
      <w:r>
        <w:rPr>
          <w:rFonts w:cs="Arial"/>
        </w:rPr>
        <w:t>једно</w:t>
      </w:r>
      <w:r>
        <w:rPr>
          <w:rFonts w:cs="Arial"/>
          <w:lang w:val="sr-Cyrl-CS"/>
        </w:rPr>
        <w:t>-</w:t>
      </w:r>
      <w:r>
        <w:rPr>
          <w:rFonts w:cs="Arial"/>
        </w:rPr>
        <w:t>страна</w:t>
      </w:r>
      <w:r w:rsidRPr="0095267B">
        <w:rPr>
          <w:rFonts w:cs="Arial"/>
        </w:rPr>
        <w:t xml:space="preserve"> </w:t>
      </w:r>
      <w:r>
        <w:rPr>
          <w:rFonts w:cs="Arial"/>
        </w:rPr>
        <w:t>вероватноћа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0.0014553, </w:t>
      </w:r>
      <w:r>
        <w:rPr>
          <w:rFonts w:cs="Arial"/>
        </w:rPr>
        <w:t>која</w:t>
      </w:r>
      <w:r w:rsidRPr="0095267B">
        <w:rPr>
          <w:rFonts w:cs="Arial"/>
        </w:rPr>
        <w:t xml:space="preserve"> </w:t>
      </w:r>
      <w:r>
        <w:rPr>
          <w:rFonts w:cs="Arial"/>
        </w:rPr>
        <w:t>удвостручена</w:t>
      </w:r>
      <w:r w:rsidRPr="0095267B">
        <w:rPr>
          <w:rFonts w:cs="Arial"/>
        </w:rPr>
        <w:t xml:space="preserve">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>
        <w:rPr>
          <w:rFonts w:cs="Arial"/>
        </w:rPr>
        <w:t>дво</w:t>
      </w:r>
      <w:r>
        <w:rPr>
          <w:rFonts w:cs="Arial"/>
          <w:lang w:val="sr-Cyrl-CS"/>
        </w:rPr>
        <w:t>-</w:t>
      </w:r>
      <w:r>
        <w:rPr>
          <w:rFonts w:cs="Arial"/>
        </w:rPr>
        <w:t>страни</w:t>
      </w:r>
      <w:r w:rsidRPr="0095267B">
        <w:rPr>
          <w:rFonts w:cs="Arial"/>
        </w:rPr>
        <w:t xml:space="preserve"> </w:t>
      </w:r>
      <w:r>
        <w:rPr>
          <w:rFonts w:cs="Arial"/>
        </w:rPr>
        <w:t>тест</w:t>
      </w:r>
      <w:r w:rsidRPr="0095267B">
        <w:rPr>
          <w:rFonts w:cs="Arial"/>
        </w:rPr>
        <w:t xml:space="preserve"> </w:t>
      </w:r>
      <w:r>
        <w:rPr>
          <w:rFonts w:cs="Arial"/>
        </w:rPr>
        <w:t>даје</w:t>
      </w:r>
      <w:r w:rsidRPr="0095267B">
        <w:rPr>
          <w:rFonts w:cs="Arial"/>
        </w:rPr>
        <w:t xml:space="preserve"> 0.0029. </w:t>
      </w:r>
      <w:r>
        <w:rPr>
          <w:rFonts w:cs="Arial"/>
        </w:rPr>
        <w:t>Метод</w:t>
      </w:r>
      <w:r w:rsidRPr="0095267B">
        <w:rPr>
          <w:rFonts w:cs="Arial"/>
        </w:rPr>
        <w:t xml:space="preserve"> </w:t>
      </w:r>
      <w:r>
        <w:rPr>
          <w:rFonts w:cs="Arial"/>
        </w:rPr>
        <w:t>кори</w:t>
      </w:r>
      <w:r>
        <w:rPr>
          <w:rFonts w:cs="Arial"/>
          <w:lang w:val="sr-Cyrl-CS"/>
        </w:rPr>
        <w:t>шћења</w:t>
      </w:r>
      <w:r w:rsidRPr="0095267B">
        <w:rPr>
          <w:rFonts w:cs="Arial"/>
        </w:rPr>
        <w:t xml:space="preserve"> </w:t>
      </w:r>
      <w:r>
        <w:rPr>
          <w:rFonts w:cs="Arial"/>
        </w:rPr>
        <w:t>св</w:t>
      </w:r>
      <w:r>
        <w:rPr>
          <w:rFonts w:cs="Arial"/>
          <w:lang w:val="sr-Cyrl-CS"/>
        </w:rPr>
        <w:t>их</w:t>
      </w:r>
      <w:r w:rsidRPr="0095267B">
        <w:rPr>
          <w:rFonts w:cs="Arial"/>
        </w:rPr>
        <w:t xml:space="preserve"> </w:t>
      </w:r>
      <w:r>
        <w:rPr>
          <w:rFonts w:cs="Arial"/>
        </w:rPr>
        <w:t>мањ</w:t>
      </w:r>
      <w:r>
        <w:rPr>
          <w:rFonts w:cs="Arial"/>
          <w:lang w:val="sr-Cyrl-CS"/>
        </w:rPr>
        <w:t>их</w:t>
      </w:r>
      <w:r w:rsidRPr="0095267B">
        <w:rPr>
          <w:rFonts w:cs="Arial"/>
        </w:rPr>
        <w:t xml:space="preserve"> </w:t>
      </w:r>
      <w:r>
        <w:rPr>
          <w:rFonts w:cs="Arial"/>
        </w:rPr>
        <w:t>вероватноћ</w:t>
      </w:r>
      <w:r>
        <w:rPr>
          <w:rFonts w:cs="Arial"/>
          <w:lang w:val="sr-Cyrl-CS"/>
        </w:rPr>
        <w:t>а</w:t>
      </w:r>
      <w:r w:rsidRPr="0095267B">
        <w:rPr>
          <w:rFonts w:cs="Arial"/>
        </w:rPr>
        <w:t xml:space="preserve"> </w:t>
      </w:r>
      <w:r>
        <w:rPr>
          <w:rFonts w:cs="Arial"/>
        </w:rPr>
        <w:t>даје</w:t>
      </w:r>
      <w:r w:rsidRPr="0095267B">
        <w:rPr>
          <w:rFonts w:cs="Arial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 xml:space="preserve">P </w:t>
      </w:r>
      <w:r w:rsidRPr="0095267B">
        <w:rPr>
          <w:rFonts w:cs="Arial"/>
        </w:rPr>
        <w:t xml:space="preserve">= 0.00159. </w:t>
      </w:r>
      <w:r>
        <w:rPr>
          <w:rFonts w:cs="Arial"/>
        </w:rPr>
        <w:t>Било</w:t>
      </w:r>
      <w:r w:rsidRPr="0095267B">
        <w:rPr>
          <w:rFonts w:cs="Arial"/>
        </w:rPr>
        <w:t xml:space="preserve"> </w:t>
      </w:r>
      <w:r>
        <w:rPr>
          <w:rFonts w:cs="Arial"/>
        </w:rPr>
        <w:t>која</w:t>
      </w:r>
      <w:r w:rsidRPr="0095267B">
        <w:rPr>
          <w:rFonts w:cs="Arial"/>
        </w:rPr>
        <w:t xml:space="preserve"> </w:t>
      </w:r>
      <w:r>
        <w:rPr>
          <w:rFonts w:cs="Arial"/>
        </w:rPr>
        <w:t>од</w:t>
      </w:r>
      <w:r w:rsidRPr="0095267B">
        <w:rPr>
          <w:rFonts w:cs="Arial"/>
        </w:rPr>
        <w:t xml:space="preserve"> </w:t>
      </w:r>
      <w:r>
        <w:rPr>
          <w:rFonts w:cs="Arial"/>
        </w:rPr>
        <w:t>њих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</w:rPr>
        <w:t>већа</w:t>
      </w:r>
      <w:r w:rsidRPr="0095267B">
        <w:rPr>
          <w:rFonts w:cs="Arial"/>
        </w:rPr>
        <w:t xml:space="preserve"> </w:t>
      </w:r>
      <w:r>
        <w:rPr>
          <w:rFonts w:cs="Arial"/>
        </w:rPr>
        <w:t>од</w:t>
      </w:r>
      <w:r w:rsidRPr="0095267B">
        <w:rPr>
          <w:rFonts w:cs="Arial"/>
        </w:rPr>
        <w:t xml:space="preserve"> </w:t>
      </w:r>
      <w:r>
        <w:rPr>
          <w:rFonts w:cs="Arial"/>
        </w:rPr>
        <w:t>вероватноће</w:t>
      </w:r>
      <w:r w:rsidRPr="0095267B">
        <w:rPr>
          <w:rFonts w:cs="Arial"/>
        </w:rPr>
        <w:t xml:space="preserve">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 w:rsidRPr="0095267B">
        <w:rPr>
          <w:rFonts w:cs="Arial"/>
          <w:i/>
          <w:iCs/>
          <w:color w:val="0A0905"/>
          <w:lang w:eastAsia="sr-Latn-CS"/>
        </w:rPr>
        <w:t>X</w:t>
      </w:r>
      <w:r w:rsidRPr="0095267B">
        <w:rPr>
          <w:rFonts w:cs="Arial"/>
          <w:color w:val="0A0905"/>
          <w:vertAlign w:val="superscript"/>
          <w:lang w:eastAsia="sr-Latn-CS"/>
        </w:rPr>
        <w:t>2</w:t>
      </w:r>
      <w:r w:rsidRPr="0095267B">
        <w:rPr>
          <w:rFonts w:cs="Arial"/>
        </w:rPr>
        <w:t xml:space="preserve"> </w:t>
      </w:r>
      <w:r>
        <w:rPr>
          <w:rFonts w:cs="Arial"/>
        </w:rPr>
        <w:t>вредност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>која је</w:t>
      </w:r>
      <w:r w:rsidRPr="0095267B">
        <w:rPr>
          <w:rFonts w:cs="Arial"/>
        </w:rPr>
        <w:t xml:space="preserve"> 10.</w:t>
      </w:r>
      <w:r>
        <w:rPr>
          <w:rFonts w:cs="Arial"/>
          <w:lang w:val="sr-Cyrl-CS"/>
        </w:rPr>
        <w:t>8</w:t>
      </w:r>
      <w:r w:rsidRPr="0095267B">
        <w:rPr>
          <w:rFonts w:cs="Arial"/>
        </w:rPr>
        <w:t xml:space="preserve">, </w:t>
      </w:r>
      <w:r>
        <w:rPr>
          <w:rFonts w:cs="Arial"/>
        </w:rPr>
        <w:t>што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0.0011.</w:t>
      </w:r>
    </w:p>
    <w:p w:rsidR="00A97D17" w:rsidRPr="00E20788" w:rsidRDefault="00A97D17" w:rsidP="00A97D17">
      <w:pPr>
        <w:spacing w:before="0"/>
        <w:ind w:firstLine="720"/>
        <w:rPr>
          <w:rFonts w:cs="Arial"/>
          <w:lang w:val="sr-Cyrl-CS"/>
        </w:rPr>
      </w:pPr>
      <w:r>
        <w:rPr>
          <w:rFonts w:cs="Arial"/>
        </w:rPr>
        <w:t>Fisher-ов</w:t>
      </w:r>
      <w:r w:rsidRPr="0095267B">
        <w:rPr>
          <w:rFonts w:cs="Arial"/>
        </w:rPr>
        <w:t xml:space="preserve"> </w:t>
      </w:r>
      <w:r>
        <w:rPr>
          <w:rFonts w:cs="Arial"/>
        </w:rPr>
        <w:t>тест тачне вероватноће</w:t>
      </w:r>
      <w:r w:rsidRPr="0095267B">
        <w:rPr>
          <w:rFonts w:cs="Arial"/>
        </w:rPr>
        <w:t xml:space="preserve"> </w:t>
      </w:r>
      <w:r>
        <w:rPr>
          <w:rFonts w:cs="Arial"/>
        </w:rPr>
        <w:t>је</w:t>
      </w:r>
      <w:r w:rsidRPr="0095267B">
        <w:rPr>
          <w:rFonts w:cs="Arial"/>
        </w:rPr>
        <w:t xml:space="preserve"> </w:t>
      </w:r>
      <w:r>
        <w:rPr>
          <w:rFonts w:cs="Arial"/>
        </w:rPr>
        <w:t>првобитно</w:t>
      </w:r>
      <w:r w:rsidRPr="0095267B">
        <w:rPr>
          <w:rFonts w:cs="Arial"/>
        </w:rPr>
        <w:t xml:space="preserve"> </w:t>
      </w:r>
      <w:r>
        <w:rPr>
          <w:rFonts w:cs="Arial"/>
        </w:rPr>
        <w:t>осмишљен</w:t>
      </w:r>
      <w:r w:rsidRPr="0095267B">
        <w:rPr>
          <w:rFonts w:cs="Arial"/>
        </w:rPr>
        <w:t xml:space="preserve">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 w:rsidRPr="0095267B">
        <w:rPr>
          <w:rFonts w:cs="Arial"/>
          <w:color w:val="0A0905"/>
          <w:lang w:eastAsia="sr-Latn-CS"/>
        </w:rPr>
        <w:t>2</w:t>
      </w:r>
      <w:r>
        <w:rPr>
          <w:rFonts w:cs="Arial"/>
          <w:color w:val="0A0905"/>
          <w:lang w:eastAsia="sr-Latn-CS"/>
        </w:rPr>
        <w:t>x</w:t>
      </w:r>
      <w:r w:rsidRPr="0095267B">
        <w:rPr>
          <w:rFonts w:cs="Arial"/>
          <w:color w:val="0A0905"/>
          <w:lang w:eastAsia="sr-Latn-CS"/>
        </w:rPr>
        <w:t>2</w:t>
      </w:r>
      <w:r w:rsidRPr="0095267B">
        <w:rPr>
          <w:rFonts w:cs="Arial"/>
        </w:rPr>
        <w:t xml:space="preserve"> </w:t>
      </w:r>
      <w:r>
        <w:rPr>
          <w:rFonts w:cs="Arial"/>
        </w:rPr>
        <w:t>табелу</w:t>
      </w:r>
      <w:r w:rsidRPr="0095267B">
        <w:rPr>
          <w:rFonts w:cs="Arial"/>
        </w:rPr>
        <w:t xml:space="preserve"> </w:t>
      </w:r>
      <w:r>
        <w:rPr>
          <w:rFonts w:cs="Arial"/>
        </w:rPr>
        <w:t>и</w:t>
      </w:r>
      <w:r w:rsidRPr="0095267B">
        <w:rPr>
          <w:rFonts w:cs="Arial"/>
        </w:rPr>
        <w:t xml:space="preserve"> </w:t>
      </w:r>
      <w:r>
        <w:rPr>
          <w:rFonts w:cs="Arial"/>
        </w:rPr>
        <w:t>коришћен</w:t>
      </w:r>
      <w:r w:rsidRPr="0095267B">
        <w:rPr>
          <w:rFonts w:cs="Arial"/>
        </w:rPr>
        <w:t xml:space="preserve"> </w:t>
      </w:r>
      <w:r>
        <w:rPr>
          <w:rFonts w:cs="Arial"/>
          <w:lang w:val="sr-Cyrl-CS"/>
        </w:rPr>
        <w:t xml:space="preserve">је </w:t>
      </w:r>
      <w:r>
        <w:rPr>
          <w:rFonts w:cs="Arial"/>
        </w:rPr>
        <w:t>само</w:t>
      </w:r>
      <w:r w:rsidRPr="0095267B">
        <w:rPr>
          <w:rFonts w:cs="Arial"/>
        </w:rPr>
        <w:t xml:space="preserve"> </w:t>
      </w:r>
      <w:r>
        <w:rPr>
          <w:rFonts w:cs="Arial"/>
        </w:rPr>
        <w:t>када</w:t>
      </w:r>
      <w:r w:rsidRPr="0095267B">
        <w:rPr>
          <w:rFonts w:cs="Arial"/>
        </w:rPr>
        <w:t xml:space="preserve"> </w:t>
      </w:r>
      <w:r>
        <w:rPr>
          <w:rFonts w:cs="Arial"/>
        </w:rPr>
        <w:t>су</w:t>
      </w:r>
      <w:r w:rsidRPr="0095267B">
        <w:rPr>
          <w:rFonts w:cs="Arial"/>
        </w:rPr>
        <w:t xml:space="preserve"> </w:t>
      </w:r>
      <w:r>
        <w:rPr>
          <w:rFonts w:cs="Arial"/>
        </w:rPr>
        <w:t>очекиване</w:t>
      </w:r>
      <w:r w:rsidRPr="0095267B">
        <w:rPr>
          <w:rFonts w:cs="Arial"/>
        </w:rPr>
        <w:t xml:space="preserve"> </w:t>
      </w:r>
      <w:r>
        <w:rPr>
          <w:rFonts w:cs="Arial"/>
        </w:rPr>
        <w:t>учесталости</w:t>
      </w:r>
      <w:r w:rsidRPr="0095267B">
        <w:rPr>
          <w:rFonts w:cs="Arial"/>
        </w:rPr>
        <w:t xml:space="preserve"> </w:t>
      </w:r>
      <w:r>
        <w:rPr>
          <w:rFonts w:cs="Arial"/>
        </w:rPr>
        <w:t>биле</w:t>
      </w:r>
      <w:r w:rsidRPr="0095267B">
        <w:rPr>
          <w:rFonts w:cs="Arial"/>
        </w:rPr>
        <w:t xml:space="preserve"> </w:t>
      </w:r>
      <w:r>
        <w:rPr>
          <w:rFonts w:cs="Arial"/>
        </w:rPr>
        <w:t>мале</w:t>
      </w:r>
      <w:r w:rsidRPr="0095267B">
        <w:rPr>
          <w:rFonts w:cs="Arial"/>
        </w:rPr>
        <w:t xml:space="preserve">. </w:t>
      </w:r>
      <w:r>
        <w:rPr>
          <w:rFonts w:cs="Arial"/>
          <w:lang w:val="it-IT"/>
        </w:rPr>
        <w:t>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бројеве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прорачуни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непрактични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Са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рачунарима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ствари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промениле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Fisher-ов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 тачне 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може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уради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било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коју</w:t>
      </w:r>
      <w:r w:rsidRPr="0095267B">
        <w:rPr>
          <w:rFonts w:cs="Arial"/>
          <w:lang w:val="it-IT"/>
        </w:rPr>
        <w:t xml:space="preserve"> 2</w:t>
      </w:r>
      <w:r>
        <w:rPr>
          <w:rFonts w:cs="Arial"/>
          <w:lang w:val="it-IT"/>
        </w:rPr>
        <w:t>x</w:t>
      </w:r>
      <w:r w:rsidRPr="0095267B">
        <w:rPr>
          <w:rFonts w:cs="Arial"/>
          <w:lang w:val="it-IT"/>
        </w:rPr>
        <w:t xml:space="preserve">2 </w:t>
      </w:r>
      <w:r>
        <w:rPr>
          <w:rFonts w:cs="Arial"/>
          <w:lang w:val="it-IT"/>
        </w:rPr>
        <w:t>табелу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Неки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програми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такође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израчунати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Fisher-ов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тест тачне вероватноће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веће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табеле</w:t>
      </w:r>
      <w:r>
        <w:rPr>
          <w:rFonts w:cs="Arial"/>
          <w:lang w:val="sr-Cyrl-CS"/>
        </w:rPr>
        <w:t>,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док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редова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колона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повећава</w:t>
      </w:r>
      <w:r w:rsidRPr="0095267B">
        <w:rPr>
          <w:rFonts w:cs="Arial"/>
          <w:lang w:val="it-IT"/>
        </w:rPr>
        <w:t xml:space="preserve">, </w:t>
      </w:r>
      <w:r>
        <w:rPr>
          <w:rFonts w:cs="Arial"/>
          <w:lang w:val="it-IT"/>
        </w:rPr>
        <w:t>број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врло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брзо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постаје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неизводљиво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израчуна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сачува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сваку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од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њих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Постоје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специјални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програми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као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што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је</w:t>
      </w:r>
      <w:r w:rsidRPr="0095267B">
        <w:rPr>
          <w:rFonts w:cs="Arial"/>
          <w:lang w:val="it-IT"/>
        </w:rPr>
        <w:t xml:space="preserve"> </w:t>
      </w:r>
      <w:r w:rsidRPr="003B68D7">
        <w:rPr>
          <w:rFonts w:cs="Arial"/>
          <w:i/>
          <w:color w:val="0A0905"/>
          <w:lang w:val="sr-Latn-CS" w:eastAsia="sr-Latn-CS"/>
        </w:rPr>
        <w:t>StatExact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/>
        </w:rPr>
        <w:t>који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праве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случајни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узорак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могућих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табела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користе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их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процену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расподелу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вероватноћа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чија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задњи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део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онда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налази</w:t>
      </w:r>
      <w:r w:rsidRPr="0095267B">
        <w:rPr>
          <w:rFonts w:cs="Arial"/>
          <w:lang w:val="it-IT"/>
        </w:rPr>
        <w:t xml:space="preserve">. </w:t>
      </w:r>
      <w:r>
        <w:rPr>
          <w:rFonts w:cs="Arial"/>
          <w:lang w:val="it-IT"/>
        </w:rPr>
        <w:t>Методе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sr-Cyrl-CS"/>
        </w:rPr>
        <w:t>које узоркују могућности на овај начин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зову</w:t>
      </w:r>
      <w:r w:rsidRPr="00F112A8">
        <w:rPr>
          <w:rFonts w:cs="Arial"/>
          <w:lang w:val="it-IT"/>
        </w:rPr>
        <w:t xml:space="preserve"> </w:t>
      </w:r>
      <w:r>
        <w:rPr>
          <w:rFonts w:cs="Arial"/>
          <w:lang w:val="it-IT"/>
        </w:rPr>
        <w:t>се</w:t>
      </w:r>
      <w:r w:rsidRPr="0095267B">
        <w:rPr>
          <w:rFonts w:cs="Arial"/>
          <w:lang w:val="it-IT"/>
        </w:rPr>
        <w:t xml:space="preserve"> </w:t>
      </w:r>
      <w:r w:rsidRPr="000C6780">
        <w:rPr>
          <w:rFonts w:cs="Arial"/>
          <w:b/>
          <w:bCs/>
          <w:color w:val="0A0905"/>
          <w:lang w:val="sr-Latn-CS" w:eastAsia="sr-Latn-CS"/>
        </w:rPr>
        <w:t>Monte Carlo</w:t>
      </w:r>
      <w:r>
        <w:rPr>
          <w:rFonts w:cs="Arial"/>
          <w:lang w:val="it-IT"/>
        </w:rPr>
        <w:t xml:space="preserve"> методе</w:t>
      </w:r>
      <w:r w:rsidRPr="0095267B">
        <w:rPr>
          <w:rFonts w:cs="Arial"/>
          <w:lang w:val="it-IT"/>
        </w:rPr>
        <w:t>.</w:t>
      </w:r>
    </w:p>
    <w:p w:rsidR="00A97D17" w:rsidRPr="00744718" w:rsidRDefault="00A97D17" w:rsidP="00A97D17">
      <w:pPr>
        <w:pStyle w:val="Heading3"/>
        <w:rPr>
          <w:lang w:val="sr-Cyrl-CS" w:eastAsia="sr-Latn-CS"/>
        </w:rPr>
      </w:pPr>
      <w:bookmarkStart w:id="18" w:name="_Toc261679007"/>
      <w:bookmarkStart w:id="19" w:name="_Toc366228915"/>
      <w:bookmarkStart w:id="20" w:name="_Toc529202170"/>
      <w:r>
        <w:rPr>
          <w:lang w:val="sr-Cyrl-CS" w:eastAsia="sr-Latn-CS"/>
        </w:rPr>
        <w:t>10.</w:t>
      </w:r>
      <w:r w:rsidRPr="00744718">
        <w:rPr>
          <w:lang w:val="sr-Cyrl-CS" w:eastAsia="sr-Latn-CS"/>
        </w:rPr>
        <w:t xml:space="preserve">5 </w:t>
      </w:r>
      <w:r w:rsidRPr="000C6780">
        <w:rPr>
          <w:lang w:eastAsia="sr-Latn-CS"/>
        </w:rPr>
        <w:t>Yates</w:t>
      </w:r>
      <w:r w:rsidRPr="00744718">
        <w:rPr>
          <w:lang w:val="sr-Cyrl-CS" w:eastAsia="sr-Latn-CS"/>
        </w:rPr>
        <w:t>-</w:t>
      </w:r>
      <w:r>
        <w:rPr>
          <w:lang w:eastAsia="sr-Latn-CS"/>
        </w:rPr>
        <w:t>ova</w:t>
      </w:r>
      <w:r w:rsidRPr="00744718">
        <w:rPr>
          <w:lang w:val="sr-Cyrl-CS" w:eastAsia="sr-Latn-CS"/>
        </w:rPr>
        <w:t xml:space="preserve"> </w:t>
      </w:r>
      <w:bookmarkEnd w:id="18"/>
      <w:r w:rsidRPr="00744718">
        <w:rPr>
          <w:lang w:val="sr-Cyrl-CS" w:eastAsia="sr-Latn-CS"/>
        </w:rPr>
        <w:t xml:space="preserve">корекција континуитета за </w:t>
      </w:r>
      <w:r>
        <w:rPr>
          <w:lang w:val="sr-Cyrl-CS" w:eastAsia="sr-Latn-CS"/>
        </w:rPr>
        <w:t>2 пута 2</w:t>
      </w:r>
      <w:r w:rsidRPr="00744718">
        <w:rPr>
          <w:lang w:val="sr-Cyrl-CS" w:eastAsia="sr-Latn-CS"/>
        </w:rPr>
        <w:t xml:space="preserve"> табелу</w:t>
      </w:r>
      <w:bookmarkEnd w:id="19"/>
      <w:bookmarkEnd w:id="20"/>
    </w:p>
    <w:p w:rsidR="00A97D17" w:rsidRPr="00B762C5" w:rsidRDefault="00A97D17" w:rsidP="00A97D17">
      <w:pPr>
        <w:spacing w:before="0"/>
        <w:rPr>
          <w:rFonts w:cs="Arial"/>
          <w:lang w:val="sr-Cyrl-CS"/>
        </w:rPr>
      </w:pPr>
      <w:r>
        <w:rPr>
          <w:rFonts w:cs="Arial"/>
          <w:lang w:val="sv-SE"/>
        </w:rPr>
        <w:t>Неслагање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вероватноћама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између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хи-квадрат </w:t>
      </w:r>
      <w:r>
        <w:rPr>
          <w:rFonts w:cs="Arial"/>
          <w:lang w:val="sv-SE"/>
        </w:rPr>
        <w:t>теста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</w:t>
      </w:r>
      <w:r w:rsidRPr="0095267B">
        <w:rPr>
          <w:rFonts w:cs="Arial"/>
          <w:lang w:val="sv-SE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Fisher</w:t>
      </w:r>
      <w:r>
        <w:rPr>
          <w:rFonts w:cs="Arial"/>
          <w:lang w:val="sv-SE"/>
        </w:rPr>
        <w:t>-oвог</w:t>
      </w:r>
      <w:r w:rsidRPr="0095267B">
        <w:rPr>
          <w:rFonts w:cs="Arial"/>
          <w:lang w:val="sv-SE"/>
        </w:rPr>
        <w:t xml:space="preserve"> </w:t>
      </w:r>
      <w:r w:rsidRPr="009A613E">
        <w:rPr>
          <w:rFonts w:cs="Arial"/>
          <w:lang w:val="sr-Cyrl-CS"/>
        </w:rPr>
        <w:t>тест</w:t>
      </w:r>
      <w:r>
        <w:rPr>
          <w:rFonts w:cs="Arial"/>
          <w:lang w:val="sr-Cyrl-CS"/>
        </w:rPr>
        <w:t>а</w:t>
      </w:r>
      <w:r w:rsidRPr="009A613E">
        <w:rPr>
          <w:rFonts w:cs="Arial"/>
          <w:lang w:val="sr-Cyrl-CS"/>
        </w:rPr>
        <w:t xml:space="preserve"> тачне вероватноће </w:t>
      </w:r>
      <w:r>
        <w:rPr>
          <w:rFonts w:cs="Arial"/>
          <w:lang w:val="sv-SE"/>
        </w:rPr>
        <w:t>се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јавља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зато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што</w:t>
      </w:r>
      <w:r>
        <w:rPr>
          <w:rFonts w:cs="Arial"/>
          <w:lang w:val="sr-Cyrl-CS"/>
        </w:rPr>
        <w:t xml:space="preserve"> </w:t>
      </w:r>
      <w:r>
        <w:rPr>
          <w:rFonts w:cs="Arial"/>
          <w:lang w:val="sv-SE"/>
        </w:rPr>
        <w:t>процењујемо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дискретне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тест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статистике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помоћу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непрекидне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Хи-квадрат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расподеле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Корекција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континуитета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попут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из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дела 9</w:t>
      </w:r>
      <w:r w:rsidRPr="0095267B">
        <w:rPr>
          <w:rFonts w:cs="Arial"/>
          <w:lang w:val="sv-SE"/>
        </w:rPr>
        <w:t xml:space="preserve">.6, </w:t>
      </w:r>
      <w:r>
        <w:rPr>
          <w:rFonts w:cs="Arial"/>
          <w:lang w:val="sv-SE"/>
        </w:rPr>
        <w:t>зван</w:t>
      </w:r>
      <w:r>
        <w:rPr>
          <w:rFonts w:cs="Arial"/>
          <w:lang w:val="sr-Cyrl-CS"/>
        </w:rPr>
        <w:t>а</w:t>
      </w:r>
      <w:r w:rsidRPr="0095267B">
        <w:rPr>
          <w:rFonts w:cs="Arial"/>
          <w:lang w:val="sv-SE"/>
        </w:rPr>
        <w:t xml:space="preserve"> </w:t>
      </w:r>
      <w:r w:rsidRPr="000C3589">
        <w:rPr>
          <w:b/>
          <w:lang w:val="sv-SE" w:eastAsia="sr-Latn-CS"/>
        </w:rPr>
        <w:t>Yates</w:t>
      </w:r>
      <w:r w:rsidRPr="000C3589">
        <w:rPr>
          <w:b/>
          <w:lang w:val="sr-Cyrl-CS" w:eastAsia="sr-Latn-CS"/>
        </w:rPr>
        <w:t>-</w:t>
      </w:r>
      <w:r w:rsidRPr="000C3589">
        <w:rPr>
          <w:b/>
          <w:lang w:val="sv-SE" w:eastAsia="sr-Latn-CS"/>
        </w:rPr>
        <w:t>ova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b/>
          <w:lang w:val="sv-SE"/>
        </w:rPr>
        <w:t>корекција</w:t>
      </w:r>
      <w:r>
        <w:rPr>
          <w:rFonts w:cs="Arial"/>
          <w:b/>
          <w:lang w:val="sr-Cyrl-CS"/>
        </w:rPr>
        <w:t xml:space="preserve"> </w:t>
      </w:r>
      <w:r w:rsidRPr="007C720C">
        <w:rPr>
          <w:rFonts w:cs="Arial"/>
          <w:lang w:val="sr-Cyrl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Yates' correction</w:t>
      </w:r>
      <w:r w:rsidRPr="007C720C">
        <w:rPr>
          <w:rFonts w:cs="Arial"/>
          <w:lang w:val="sr-Cyrl-CS"/>
        </w:rPr>
        <w:t>)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може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 xml:space="preserve">се </w:t>
      </w:r>
      <w:r>
        <w:rPr>
          <w:rFonts w:cs="Arial"/>
          <w:lang w:val="sv-SE"/>
        </w:rPr>
        <w:t>употребити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r-Cyrl-CS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побољша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уклапања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v-SE"/>
        </w:rPr>
        <w:t>Посматране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учесталости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се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мењају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јединицама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од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један</w:t>
      </w:r>
      <w:r w:rsidRPr="0095267B">
        <w:rPr>
          <w:rFonts w:cs="Arial"/>
          <w:lang w:val="sv-SE"/>
        </w:rPr>
        <w:t xml:space="preserve">, </w:t>
      </w:r>
      <w:r>
        <w:rPr>
          <w:rFonts w:cs="Arial"/>
          <w:lang w:val="sv-SE"/>
        </w:rPr>
        <w:t>тако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да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их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ми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приближавамо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њиховим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очекиваним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вредностима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једну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половину</w:t>
      </w:r>
      <w:r w:rsidRPr="0095267B">
        <w:rPr>
          <w:rFonts w:cs="Arial"/>
          <w:lang w:val="sv-SE"/>
        </w:rPr>
        <w:t xml:space="preserve">. </w:t>
      </w:r>
      <w:r>
        <w:rPr>
          <w:rFonts w:cs="Arial"/>
          <w:lang w:val="sr-Cyrl-CS"/>
        </w:rPr>
        <w:t>Стога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формула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исправљену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хи-квадрат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статистику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за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2 пута 2</w:t>
      </w:r>
      <w:r w:rsidRPr="0095267B">
        <w:rPr>
          <w:rFonts w:cs="Arial"/>
          <w:lang w:val="sv-SE"/>
        </w:rPr>
        <w:t xml:space="preserve"> </w:t>
      </w:r>
      <w:r>
        <w:rPr>
          <w:rFonts w:cs="Arial"/>
          <w:lang w:val="sv-SE"/>
        </w:rPr>
        <w:t>табелу</w:t>
      </w:r>
      <w:r>
        <w:rPr>
          <w:rFonts w:cs="Arial"/>
          <w:lang w:val="sr-Cyrl-CS"/>
        </w:rPr>
        <w:t xml:space="preserve"> је</w:t>
      </w:r>
    </w:p>
    <w:p w:rsidR="00A97D17" w:rsidRPr="0095267B" w:rsidRDefault="00A97D17" w:rsidP="00A97D17">
      <w:pPr>
        <w:pStyle w:val="Equation1"/>
      </w:pPr>
      <w:r w:rsidRPr="00AC4077">
        <w:rPr>
          <w:position w:val="-20"/>
        </w:rPr>
        <w:object w:dxaOrig="1579" w:dyaOrig="900">
          <v:shape id="_x0000_i1037" type="#_x0000_t75" style="width:78.9pt;height:44.95pt" o:ole="">
            <v:imagedata r:id="rId33" o:title=""/>
          </v:shape>
          <o:OLEObject Type="Embed" ProgID="Equation.3" ShapeID="_x0000_i1037" DrawAspect="Content" ObjectID="_1602945746" r:id="rId34"/>
        </w:object>
      </w:r>
    </w:p>
    <w:p w:rsidR="00A97D17" w:rsidRPr="00AE2A10" w:rsidRDefault="00A97D17" w:rsidP="00A97D17">
      <w:pPr>
        <w:spacing w:before="0"/>
        <w:rPr>
          <w:rFonts w:cs="Arial"/>
          <w:lang w:val="sr-Cyrl-CS"/>
        </w:rPr>
      </w:pPr>
    </w:p>
    <w:p w:rsidR="00A97D17" w:rsidRDefault="00A97D17" w:rsidP="00A97D17">
      <w:pPr>
        <w:spacing w:before="0"/>
        <w:rPr>
          <w:rFonts w:cs="Arial"/>
          <w:lang w:val="sr-Cyrl-CS"/>
        </w:rPr>
      </w:pPr>
      <w:r>
        <w:rPr>
          <w:rFonts w:cs="Arial"/>
          <w:lang w:val="sr-Cyrl-CS"/>
        </w:rPr>
        <w:t>г</w:t>
      </w:r>
      <w:r w:rsidRPr="00CE23A0">
        <w:rPr>
          <w:rFonts w:cs="Arial"/>
          <w:lang w:val="sr-Cyrl-CS"/>
        </w:rPr>
        <w:t>де |</w:t>
      </w:r>
      <w:r w:rsidRPr="0095267B">
        <w:rPr>
          <w:rFonts w:cs="Arial"/>
          <w:i/>
        </w:rPr>
        <w:t>O</w:t>
      </w:r>
      <w:r w:rsidRPr="00CE23A0">
        <w:rPr>
          <w:rFonts w:cs="Arial"/>
          <w:i/>
          <w:lang w:val="sr-Cyrl-CS"/>
        </w:rPr>
        <w:t xml:space="preserve"> - Е</w:t>
      </w:r>
      <w:r w:rsidRPr="00CE23A0">
        <w:rPr>
          <w:rFonts w:cs="Arial"/>
          <w:lang w:val="sr-Cyrl-CS"/>
        </w:rPr>
        <w:t xml:space="preserve">| представља апсолутну вредност или модул разлике, без знака. </w:t>
      </w:r>
      <w:r>
        <w:rPr>
          <w:rFonts w:cs="Arial"/>
        </w:rPr>
        <w:t>За</w:t>
      </w:r>
      <w:r w:rsidRPr="0095267B">
        <w:rPr>
          <w:rFonts w:cs="Arial"/>
        </w:rPr>
        <w:t xml:space="preserve"> </w:t>
      </w:r>
      <w:r>
        <w:rPr>
          <w:rFonts w:cs="Arial"/>
        </w:rPr>
        <w:t>табелу</w:t>
      </w:r>
      <w:r w:rsidRPr="0095267B">
        <w:rPr>
          <w:rFonts w:cs="Arial"/>
        </w:rPr>
        <w:t xml:space="preserve"> </w:t>
      </w:r>
      <w:r>
        <w:rPr>
          <w:rFonts w:cs="Arial"/>
        </w:rPr>
        <w:t>10.</w:t>
      </w:r>
      <w:r w:rsidRPr="0095267B">
        <w:rPr>
          <w:rFonts w:cs="Arial"/>
        </w:rPr>
        <w:t xml:space="preserve">7 </w:t>
      </w:r>
      <w:r>
        <w:rPr>
          <w:rFonts w:cs="Arial"/>
        </w:rPr>
        <w:t>имамо</w:t>
      </w:r>
    </w:p>
    <w:p w:rsidR="00A97D17" w:rsidRPr="0095267B" w:rsidRDefault="00A97D17" w:rsidP="00A97D17">
      <w:pPr>
        <w:pStyle w:val="Equation1"/>
      </w:pPr>
      <w:r w:rsidRPr="00A16912">
        <w:rPr>
          <w:position w:val="-86"/>
        </w:rPr>
        <w:object w:dxaOrig="8020" w:dyaOrig="1820">
          <v:shape id="_x0000_i1038" type="#_x0000_t75" style="width:400.3pt;height:91pt" o:ole="">
            <v:imagedata r:id="rId35" o:title=""/>
          </v:shape>
          <o:OLEObject Type="Embed" ProgID="Equation.3" ShapeID="_x0000_i1038" DrawAspect="Content" ObjectID="_1602945747" r:id="rId36"/>
        </w:object>
      </w:r>
    </w:p>
    <w:p w:rsidR="00A97D17" w:rsidRPr="00A16912" w:rsidRDefault="00A97D17" w:rsidP="00A97D17">
      <w:pPr>
        <w:spacing w:before="0"/>
        <w:rPr>
          <w:rFonts w:cs="Arial"/>
          <w:lang w:val="sr-Cyrl-CS"/>
        </w:rPr>
      </w:pPr>
    </w:p>
    <w:p w:rsidR="00756A21" w:rsidRDefault="00A97D17" w:rsidP="00803152">
      <w:pPr>
        <w:spacing w:before="0"/>
        <w:ind w:firstLine="720"/>
        <w:rPr>
          <w:rFonts w:cs="Arial"/>
          <w:lang w:val="sr-Cyrl-CS"/>
        </w:rPr>
      </w:pPr>
      <w:r w:rsidRPr="0095267B">
        <w:rPr>
          <w:rFonts w:cs="Arial"/>
        </w:rPr>
        <w:t>O</w:t>
      </w:r>
      <w:r w:rsidRPr="00CE23A0">
        <w:rPr>
          <w:rFonts w:cs="Arial"/>
          <w:lang w:val="sr-Cyrl-CS"/>
        </w:rPr>
        <w:t xml:space="preserve">во има вероватноћу 0.0037, што је ближе тачној вероватноћи, мада још увек постоји значајно неслагање. </w:t>
      </w:r>
      <w:r>
        <w:rPr>
          <w:rFonts w:cs="Arial"/>
          <w:lang w:val="sr-Cyrl-CS"/>
        </w:rPr>
        <w:t>При</w:t>
      </w:r>
      <w:r w:rsidRPr="00CE23A0">
        <w:rPr>
          <w:rFonts w:cs="Arial"/>
          <w:lang w:val="sr-Cyrl-CS"/>
        </w:rPr>
        <w:t xml:space="preserve"> тако екстремно ниским вредностима било који приближни модел вероватноће као што је овај је склон неуспеху. У критичној области између 0.10 и 0.01, корекција континуитета обично даје веома добро </w:t>
      </w:r>
      <w:r>
        <w:rPr>
          <w:rFonts w:cs="Arial"/>
          <w:lang w:val="sr-Cyrl-CS"/>
        </w:rPr>
        <w:t>слагање</w:t>
      </w:r>
      <w:r w:rsidRPr="00CE23A0">
        <w:rPr>
          <w:rFonts w:cs="Arial"/>
          <w:lang w:val="sr-Cyrl-CS"/>
        </w:rPr>
        <w:t xml:space="preserve"> </w:t>
      </w:r>
      <w:r>
        <w:rPr>
          <w:rFonts w:cs="Arial"/>
          <w:lang w:val="sr-Cyrl-CS"/>
        </w:rPr>
        <w:t>са</w:t>
      </w:r>
      <w:r w:rsidRPr="00CE23A0">
        <w:rPr>
          <w:rFonts w:cs="Arial"/>
          <w:lang w:val="sr-Cyrl-CS"/>
        </w:rPr>
        <w:t xml:space="preserve"> тачн</w:t>
      </w:r>
      <w:r>
        <w:rPr>
          <w:rFonts w:cs="Arial"/>
          <w:lang w:val="sr-Cyrl-CS"/>
        </w:rPr>
        <w:t>ом</w:t>
      </w:r>
      <w:r w:rsidRPr="00CE23A0">
        <w:rPr>
          <w:rFonts w:cs="Arial"/>
          <w:lang w:val="sr-Cyrl-CS"/>
        </w:rPr>
        <w:t xml:space="preserve"> вероватноћ</w:t>
      </w:r>
      <w:r>
        <w:rPr>
          <w:rFonts w:cs="Arial"/>
          <w:lang w:val="sr-Cyrl-CS"/>
        </w:rPr>
        <w:t>ом</w:t>
      </w:r>
      <w:r w:rsidRPr="00CE23A0">
        <w:rPr>
          <w:rFonts w:cs="Arial"/>
          <w:lang w:val="sr-Cyrl-CS"/>
        </w:rPr>
        <w:t>. Ка</w:t>
      </w:r>
      <w:r>
        <w:rPr>
          <w:rFonts w:cs="Arial"/>
          <w:lang w:val="sr-Cyrl-CS"/>
        </w:rPr>
        <w:t xml:space="preserve">ко је </w:t>
      </w:r>
      <w:r w:rsidRPr="00CE23A0">
        <w:rPr>
          <w:rFonts w:cs="Arial"/>
          <w:lang w:val="sr-Cyrl-CS"/>
        </w:rPr>
        <w:t xml:space="preserve">сада лако урадити </w:t>
      </w:r>
      <w:r>
        <w:rPr>
          <w:rFonts w:cs="Arial"/>
        </w:rPr>
        <w:t>Fisher</w:t>
      </w:r>
      <w:r w:rsidRPr="00CE23A0">
        <w:rPr>
          <w:rFonts w:cs="Arial"/>
          <w:lang w:val="sr-Cyrl-CS"/>
        </w:rPr>
        <w:t xml:space="preserve">-ов </w:t>
      </w:r>
      <w:r>
        <w:rPr>
          <w:rFonts w:cs="Arial"/>
          <w:lang w:val="sr-Cyrl-CS"/>
        </w:rPr>
        <w:t>тест тачне вероватноће</w:t>
      </w:r>
      <w:r w:rsidRPr="00CE23A0">
        <w:rPr>
          <w:rFonts w:cs="Arial"/>
          <w:lang w:val="sr-Cyrl-CS"/>
        </w:rPr>
        <w:t xml:space="preserve">, </w:t>
      </w:r>
      <w:r w:rsidRPr="00827D91">
        <w:rPr>
          <w:lang w:val="sv-SE" w:eastAsia="sr-Latn-CS"/>
        </w:rPr>
        <w:t>Yates</w:t>
      </w:r>
      <w:r w:rsidRPr="00827D91">
        <w:rPr>
          <w:lang w:val="sr-Cyrl-CS" w:eastAsia="sr-Latn-CS"/>
        </w:rPr>
        <w:t>-</w:t>
      </w:r>
      <w:r w:rsidRPr="00827D91">
        <w:rPr>
          <w:lang w:val="sv-SE" w:eastAsia="sr-Latn-CS"/>
        </w:rPr>
        <w:t>ova</w:t>
      </w:r>
      <w:r w:rsidRPr="0095267B">
        <w:rPr>
          <w:rFonts w:cs="Arial"/>
          <w:lang w:val="sv-SE"/>
        </w:rPr>
        <w:t xml:space="preserve"> </w:t>
      </w:r>
      <w:r w:rsidRPr="00CE23A0">
        <w:rPr>
          <w:rFonts w:cs="Arial"/>
          <w:lang w:val="sr-Cyrl-CS"/>
        </w:rPr>
        <w:t>корекција може ускоро нестати.</w:t>
      </w:r>
    </w:p>
    <w:sectPr w:rsidR="00756A21" w:rsidSect="00756A21">
      <w:headerReference w:type="default" r:id="rId37"/>
      <w:footerReference w:type="default" r:id="rId38"/>
      <w:headerReference w:type="first" r:id="rId39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B4E" w:rsidRDefault="003E5B4E">
      <w:r>
        <w:separator/>
      </w:r>
    </w:p>
  </w:endnote>
  <w:endnote w:type="continuationSeparator" w:id="1">
    <w:p w:rsidR="003E5B4E" w:rsidRDefault="003E5B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E79" w:rsidRDefault="00AF0E79" w:rsidP="00AF0E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766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D766E">
      <w:rPr>
        <w:rStyle w:val="PageNumber"/>
        <w:noProof/>
      </w:rPr>
      <w:t>12</w:t>
    </w:r>
    <w:r>
      <w:rPr>
        <w:rStyle w:val="PageNumber"/>
      </w:rPr>
      <w:fldChar w:fldCharType="end"/>
    </w:r>
  </w:p>
  <w:p w:rsidR="00AF0E79" w:rsidRPr="00AF0E79" w:rsidRDefault="00AF0E79" w:rsidP="00AF0E79">
    <w:pPr>
      <w:pStyle w:val="Footer"/>
      <w:ind w:right="360"/>
      <w:rPr>
        <w:sz w:val="16"/>
        <w:szCs w:val="16"/>
        <w:lang/>
      </w:rPr>
    </w:pPr>
    <w:r>
      <w:rPr>
        <w:noProof/>
        <w:sz w:val="16"/>
        <w:szCs w:val="16"/>
        <w:lang w:val="en-US"/>
      </w:rPr>
      <w:pict>
        <v:line id="_x0000_s1026" style="position:absolute;left:0;text-align:left;z-index:251660288" from="0,3.5pt" to="456pt,3.5pt"/>
      </w:pict>
    </w:r>
    <w:r w:rsidRPr="00FC1F3E">
      <w:rPr>
        <w:noProof/>
        <w:sz w:val="16"/>
        <w:szCs w:val="16"/>
        <w:lang w:val="en-US"/>
      </w:rPr>
      <w:t>Назив предавања: &lt;</w:t>
    </w:r>
    <w:r w:rsidRPr="00AF0E79">
      <w:rPr>
        <w:noProof/>
        <w:sz w:val="16"/>
        <w:szCs w:val="16"/>
        <w:lang w:val="sr-Cyrl-CS"/>
      </w:rPr>
      <w:t>Анализа унакрсног табелирања</w:t>
    </w:r>
    <w:r w:rsidRPr="00FC1F3E">
      <w:rPr>
        <w:noProof/>
        <w:sz w:val="16"/>
        <w:szCs w:val="16"/>
        <w:lang w:val="en-US"/>
      </w:rPr>
      <w:t>&gt;</w:t>
    </w:r>
    <w:r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B4E" w:rsidRDefault="003E5B4E">
      <w:r>
        <w:separator/>
      </w:r>
    </w:p>
  </w:footnote>
  <w:footnote w:type="continuationSeparator" w:id="1">
    <w:p w:rsidR="003E5B4E" w:rsidRDefault="003E5B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E79" w:rsidRDefault="00AF0E79" w:rsidP="00AF0E79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AF0E79" w:rsidRPr="00BA7A03" w:rsidRDefault="00AF0E79" w:rsidP="00AF0E79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10</w:t>
    </w:r>
  </w:p>
  <w:p w:rsidR="00AF0E79" w:rsidRPr="00AF0E79" w:rsidRDefault="00AF0E79" w:rsidP="00AF0E79">
    <w:pPr>
      <w:pStyle w:val="Header"/>
      <w:spacing w:before="0"/>
      <w:rPr>
        <w:lang/>
      </w:rPr>
    </w:pPr>
    <w:r>
      <w:rPr>
        <w:noProof/>
        <w:lang w:val="en-US"/>
      </w:rPr>
      <w:pict>
        <v:line id="_x0000_s1028" style="position:absolute;left:0;text-align:left;z-index:251658240" from="-2pt,6.3pt" to="454pt,6.3pt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E79" w:rsidRDefault="00AF0E79" w:rsidP="00AF0E79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AF0E79" w:rsidRPr="00BA7A03" w:rsidRDefault="00AF0E79" w:rsidP="00AF0E79">
    <w:pPr>
      <w:pStyle w:val="Header"/>
      <w:spacing w:before="0"/>
      <w:rPr>
        <w:b/>
        <w:sz w:val="16"/>
        <w:szCs w:val="16"/>
        <w:lang w:val="sr-Cyrl-C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Pr="00EF3EAD">
      <w:rPr>
        <w:sz w:val="16"/>
        <w:szCs w:val="16"/>
        <w:lang w:val="es-ES"/>
      </w:rPr>
      <w:t xml:space="preserve">КВАНТИТАТИВНЕ МЕТОДЕ ЗА ЗДРАВСТВЕНЕ ОРГАНИЗАЦИЈЕ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>
      <w:rPr>
        <w:b/>
        <w:sz w:val="16"/>
        <w:szCs w:val="16"/>
        <w:lang w:val="sr-Cyrl-CS"/>
      </w:rPr>
      <w:t>9</w:t>
    </w:r>
  </w:p>
  <w:p w:rsidR="00AF0E79" w:rsidRPr="00AF0E79" w:rsidRDefault="00AF0E79" w:rsidP="00AF0E79">
    <w:pPr>
      <w:pStyle w:val="Header"/>
      <w:spacing w:before="0"/>
      <w:rPr>
        <w:lang/>
      </w:rPr>
    </w:pPr>
    <w:r>
      <w:rPr>
        <w:noProof/>
        <w:lang w:val="en-US"/>
      </w:rPr>
      <w:pict>
        <v:line id="_x0000_s1027" style="position:absolute;left:0;text-align:left;z-index:251658240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4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4"/>
  </w:num>
  <w:num w:numId="2">
    <w:abstractNumId w:val="16"/>
  </w:num>
  <w:num w:numId="3">
    <w:abstractNumId w:val="6"/>
  </w:num>
  <w:num w:numId="4">
    <w:abstractNumId w:val="7"/>
  </w:num>
  <w:num w:numId="5">
    <w:abstractNumId w:val="31"/>
  </w:num>
  <w:num w:numId="6">
    <w:abstractNumId w:val="4"/>
  </w:num>
  <w:num w:numId="7">
    <w:abstractNumId w:val="12"/>
  </w:num>
  <w:num w:numId="8">
    <w:abstractNumId w:val="21"/>
  </w:num>
  <w:num w:numId="9">
    <w:abstractNumId w:val="28"/>
  </w:num>
  <w:num w:numId="10">
    <w:abstractNumId w:val="18"/>
  </w:num>
  <w:num w:numId="11">
    <w:abstractNumId w:val="25"/>
  </w:num>
  <w:num w:numId="12">
    <w:abstractNumId w:val="17"/>
  </w:num>
  <w:num w:numId="13">
    <w:abstractNumId w:val="1"/>
  </w:num>
  <w:num w:numId="14">
    <w:abstractNumId w:val="2"/>
  </w:num>
  <w:num w:numId="15">
    <w:abstractNumId w:val="23"/>
  </w:num>
  <w:num w:numId="16">
    <w:abstractNumId w:val="27"/>
  </w:num>
  <w:num w:numId="17">
    <w:abstractNumId w:val="26"/>
  </w:num>
  <w:num w:numId="18">
    <w:abstractNumId w:val="22"/>
  </w:num>
  <w:num w:numId="19">
    <w:abstractNumId w:val="14"/>
  </w:num>
  <w:num w:numId="20">
    <w:abstractNumId w:val="20"/>
  </w:num>
  <w:num w:numId="21">
    <w:abstractNumId w:val="15"/>
  </w:num>
  <w:num w:numId="22">
    <w:abstractNumId w:val="29"/>
  </w:num>
  <w:num w:numId="23">
    <w:abstractNumId w:val="32"/>
  </w:num>
  <w:num w:numId="24">
    <w:abstractNumId w:val="0"/>
  </w:num>
  <w:num w:numId="25">
    <w:abstractNumId w:val="11"/>
  </w:num>
  <w:num w:numId="26">
    <w:abstractNumId w:val="10"/>
  </w:num>
  <w:num w:numId="27">
    <w:abstractNumId w:val="3"/>
  </w:num>
  <w:num w:numId="28">
    <w:abstractNumId w:val="19"/>
  </w:num>
  <w:num w:numId="29">
    <w:abstractNumId w:val="30"/>
  </w:num>
  <w:num w:numId="30">
    <w:abstractNumId w:val="5"/>
  </w:num>
  <w:num w:numId="31">
    <w:abstractNumId w:val="13"/>
  </w:num>
  <w:num w:numId="32">
    <w:abstractNumId w:val="8"/>
  </w:num>
  <w:num w:numId="33">
    <w:abstractNumId w:val="9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ttachedTemplate r:id="rId1"/>
  <w:stylePaneFormatFilter w:val="3F01"/>
  <w:defaultTabStop w:val="720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741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11E88"/>
    <w:rsid w:val="00016155"/>
    <w:rsid w:val="00017862"/>
    <w:rsid w:val="000211B5"/>
    <w:rsid w:val="00021483"/>
    <w:rsid w:val="000216A4"/>
    <w:rsid w:val="00024045"/>
    <w:rsid w:val="000277ED"/>
    <w:rsid w:val="00032473"/>
    <w:rsid w:val="00033D79"/>
    <w:rsid w:val="00033F3A"/>
    <w:rsid w:val="00034B68"/>
    <w:rsid w:val="0003547D"/>
    <w:rsid w:val="000416AB"/>
    <w:rsid w:val="00042A51"/>
    <w:rsid w:val="00046C95"/>
    <w:rsid w:val="0005059B"/>
    <w:rsid w:val="0005619C"/>
    <w:rsid w:val="000647CD"/>
    <w:rsid w:val="00064B81"/>
    <w:rsid w:val="000654A7"/>
    <w:rsid w:val="0007098A"/>
    <w:rsid w:val="00077A6E"/>
    <w:rsid w:val="00081B07"/>
    <w:rsid w:val="00083111"/>
    <w:rsid w:val="000907C2"/>
    <w:rsid w:val="00092CCC"/>
    <w:rsid w:val="000932D0"/>
    <w:rsid w:val="00096301"/>
    <w:rsid w:val="000A6F82"/>
    <w:rsid w:val="000A7D6F"/>
    <w:rsid w:val="000B07B4"/>
    <w:rsid w:val="000B08E6"/>
    <w:rsid w:val="000B6BB8"/>
    <w:rsid w:val="000C010E"/>
    <w:rsid w:val="000C38FD"/>
    <w:rsid w:val="000D0471"/>
    <w:rsid w:val="000D0489"/>
    <w:rsid w:val="000D4519"/>
    <w:rsid w:val="000D52C4"/>
    <w:rsid w:val="000D6109"/>
    <w:rsid w:val="000E0314"/>
    <w:rsid w:val="000E2139"/>
    <w:rsid w:val="000E591C"/>
    <w:rsid w:val="000E6FF3"/>
    <w:rsid w:val="000F0163"/>
    <w:rsid w:val="000F5C8F"/>
    <w:rsid w:val="000F5D33"/>
    <w:rsid w:val="000F75A2"/>
    <w:rsid w:val="00101C66"/>
    <w:rsid w:val="001034F4"/>
    <w:rsid w:val="00105B16"/>
    <w:rsid w:val="00106980"/>
    <w:rsid w:val="001070F6"/>
    <w:rsid w:val="00107F33"/>
    <w:rsid w:val="00111BBD"/>
    <w:rsid w:val="001123FE"/>
    <w:rsid w:val="0011311E"/>
    <w:rsid w:val="001139FA"/>
    <w:rsid w:val="00115CC2"/>
    <w:rsid w:val="00121041"/>
    <w:rsid w:val="001223F5"/>
    <w:rsid w:val="00122426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1C92"/>
    <w:rsid w:val="00153C7B"/>
    <w:rsid w:val="00154018"/>
    <w:rsid w:val="0015514D"/>
    <w:rsid w:val="0016077D"/>
    <w:rsid w:val="00160B20"/>
    <w:rsid w:val="00160BD4"/>
    <w:rsid w:val="001653E0"/>
    <w:rsid w:val="00165E0E"/>
    <w:rsid w:val="00165E21"/>
    <w:rsid w:val="001679CF"/>
    <w:rsid w:val="00167EDA"/>
    <w:rsid w:val="001752A8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4F1D"/>
    <w:rsid w:val="001952EB"/>
    <w:rsid w:val="00195EA4"/>
    <w:rsid w:val="001A1D22"/>
    <w:rsid w:val="001A71C4"/>
    <w:rsid w:val="001B3EFB"/>
    <w:rsid w:val="001B55BB"/>
    <w:rsid w:val="001B60D8"/>
    <w:rsid w:val="001B76B0"/>
    <w:rsid w:val="001C4BDA"/>
    <w:rsid w:val="001C5D03"/>
    <w:rsid w:val="001D2CEA"/>
    <w:rsid w:val="001D3BDA"/>
    <w:rsid w:val="001E006D"/>
    <w:rsid w:val="001E0A25"/>
    <w:rsid w:val="001E2CB6"/>
    <w:rsid w:val="001E6CE0"/>
    <w:rsid w:val="001F0ACD"/>
    <w:rsid w:val="001F0CCA"/>
    <w:rsid w:val="001F2EF7"/>
    <w:rsid w:val="001F34AF"/>
    <w:rsid w:val="001F5F0A"/>
    <w:rsid w:val="002015BF"/>
    <w:rsid w:val="00212379"/>
    <w:rsid w:val="002159BB"/>
    <w:rsid w:val="00216DF9"/>
    <w:rsid w:val="00220B07"/>
    <w:rsid w:val="00220C61"/>
    <w:rsid w:val="00224C4C"/>
    <w:rsid w:val="00226F8E"/>
    <w:rsid w:val="00231A0F"/>
    <w:rsid w:val="00237BFD"/>
    <w:rsid w:val="00242965"/>
    <w:rsid w:val="00244123"/>
    <w:rsid w:val="00244180"/>
    <w:rsid w:val="002465CA"/>
    <w:rsid w:val="00253FB6"/>
    <w:rsid w:val="00254816"/>
    <w:rsid w:val="0025497F"/>
    <w:rsid w:val="00255772"/>
    <w:rsid w:val="002572CB"/>
    <w:rsid w:val="00263DEE"/>
    <w:rsid w:val="00263EE6"/>
    <w:rsid w:val="00264F41"/>
    <w:rsid w:val="00265BF8"/>
    <w:rsid w:val="00266FA9"/>
    <w:rsid w:val="002674CB"/>
    <w:rsid w:val="002702CF"/>
    <w:rsid w:val="0027177B"/>
    <w:rsid w:val="00272ECA"/>
    <w:rsid w:val="0027624E"/>
    <w:rsid w:val="002811B0"/>
    <w:rsid w:val="002833AB"/>
    <w:rsid w:val="00295312"/>
    <w:rsid w:val="002A2BEE"/>
    <w:rsid w:val="002A3DA1"/>
    <w:rsid w:val="002A4157"/>
    <w:rsid w:val="002A6F0A"/>
    <w:rsid w:val="002A7106"/>
    <w:rsid w:val="002A7AEC"/>
    <w:rsid w:val="002B1544"/>
    <w:rsid w:val="002B1AAC"/>
    <w:rsid w:val="002B6A0B"/>
    <w:rsid w:val="002C1ED5"/>
    <w:rsid w:val="002C3660"/>
    <w:rsid w:val="002C43FA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D766E"/>
    <w:rsid w:val="002E16C1"/>
    <w:rsid w:val="002E3DB8"/>
    <w:rsid w:val="002E708E"/>
    <w:rsid w:val="002E723D"/>
    <w:rsid w:val="002F18A5"/>
    <w:rsid w:val="002F4B0A"/>
    <w:rsid w:val="002F5912"/>
    <w:rsid w:val="002F6E83"/>
    <w:rsid w:val="00300FE3"/>
    <w:rsid w:val="0030138E"/>
    <w:rsid w:val="003028D5"/>
    <w:rsid w:val="00303AF1"/>
    <w:rsid w:val="00303D55"/>
    <w:rsid w:val="00304C52"/>
    <w:rsid w:val="003054D2"/>
    <w:rsid w:val="00306A97"/>
    <w:rsid w:val="00307E6B"/>
    <w:rsid w:val="003111AC"/>
    <w:rsid w:val="00312AA1"/>
    <w:rsid w:val="0031509B"/>
    <w:rsid w:val="003161E2"/>
    <w:rsid w:val="00317228"/>
    <w:rsid w:val="003258E5"/>
    <w:rsid w:val="003276CF"/>
    <w:rsid w:val="00330B57"/>
    <w:rsid w:val="00331B00"/>
    <w:rsid w:val="003328CC"/>
    <w:rsid w:val="00347122"/>
    <w:rsid w:val="00352E2F"/>
    <w:rsid w:val="003559CD"/>
    <w:rsid w:val="00364C10"/>
    <w:rsid w:val="00365A1B"/>
    <w:rsid w:val="003702F4"/>
    <w:rsid w:val="0037147D"/>
    <w:rsid w:val="003729AC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3F0E"/>
    <w:rsid w:val="00396507"/>
    <w:rsid w:val="003A1BB8"/>
    <w:rsid w:val="003A31B3"/>
    <w:rsid w:val="003A3C3E"/>
    <w:rsid w:val="003B0E2F"/>
    <w:rsid w:val="003B1D2C"/>
    <w:rsid w:val="003C0775"/>
    <w:rsid w:val="003C186E"/>
    <w:rsid w:val="003C3020"/>
    <w:rsid w:val="003C7881"/>
    <w:rsid w:val="003D02C5"/>
    <w:rsid w:val="003D2A52"/>
    <w:rsid w:val="003D3A6A"/>
    <w:rsid w:val="003E4EBC"/>
    <w:rsid w:val="003E5248"/>
    <w:rsid w:val="003E5B4E"/>
    <w:rsid w:val="003F0BE4"/>
    <w:rsid w:val="003F1F4B"/>
    <w:rsid w:val="003F2523"/>
    <w:rsid w:val="003F252F"/>
    <w:rsid w:val="003F439E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48C7"/>
    <w:rsid w:val="004159EA"/>
    <w:rsid w:val="004173B4"/>
    <w:rsid w:val="004226FF"/>
    <w:rsid w:val="00422C67"/>
    <w:rsid w:val="00422E35"/>
    <w:rsid w:val="00424487"/>
    <w:rsid w:val="004256DC"/>
    <w:rsid w:val="0042737F"/>
    <w:rsid w:val="0042796A"/>
    <w:rsid w:val="00427A1F"/>
    <w:rsid w:val="00427F2A"/>
    <w:rsid w:val="004314CF"/>
    <w:rsid w:val="00440B8F"/>
    <w:rsid w:val="004428B5"/>
    <w:rsid w:val="00442F1F"/>
    <w:rsid w:val="00443405"/>
    <w:rsid w:val="004443DA"/>
    <w:rsid w:val="004446CE"/>
    <w:rsid w:val="00444733"/>
    <w:rsid w:val="00445F78"/>
    <w:rsid w:val="004465A7"/>
    <w:rsid w:val="00447914"/>
    <w:rsid w:val="0045151D"/>
    <w:rsid w:val="00451D12"/>
    <w:rsid w:val="004554EC"/>
    <w:rsid w:val="00456ACE"/>
    <w:rsid w:val="0046084F"/>
    <w:rsid w:val="0046102D"/>
    <w:rsid w:val="0046697A"/>
    <w:rsid w:val="00472350"/>
    <w:rsid w:val="0048132B"/>
    <w:rsid w:val="0048484F"/>
    <w:rsid w:val="004878F0"/>
    <w:rsid w:val="00490E05"/>
    <w:rsid w:val="00492376"/>
    <w:rsid w:val="00492B89"/>
    <w:rsid w:val="00492C69"/>
    <w:rsid w:val="0049363E"/>
    <w:rsid w:val="00497AF2"/>
    <w:rsid w:val="004A09B8"/>
    <w:rsid w:val="004A4015"/>
    <w:rsid w:val="004A7564"/>
    <w:rsid w:val="004A7B16"/>
    <w:rsid w:val="004A7E00"/>
    <w:rsid w:val="004A7ED3"/>
    <w:rsid w:val="004B05EC"/>
    <w:rsid w:val="004B0CBF"/>
    <w:rsid w:val="004B24FD"/>
    <w:rsid w:val="004B2D8C"/>
    <w:rsid w:val="004B4196"/>
    <w:rsid w:val="004B7EEA"/>
    <w:rsid w:val="004C1D1B"/>
    <w:rsid w:val="004C39ED"/>
    <w:rsid w:val="004C4E31"/>
    <w:rsid w:val="004C71CB"/>
    <w:rsid w:val="004D1FF7"/>
    <w:rsid w:val="004D311C"/>
    <w:rsid w:val="004D456F"/>
    <w:rsid w:val="004D57DD"/>
    <w:rsid w:val="004D77BB"/>
    <w:rsid w:val="004F0195"/>
    <w:rsid w:val="004F0C94"/>
    <w:rsid w:val="004F2684"/>
    <w:rsid w:val="00500F45"/>
    <w:rsid w:val="00501E8B"/>
    <w:rsid w:val="0050371C"/>
    <w:rsid w:val="00510A19"/>
    <w:rsid w:val="00511898"/>
    <w:rsid w:val="00511EA7"/>
    <w:rsid w:val="00513C23"/>
    <w:rsid w:val="00513C6C"/>
    <w:rsid w:val="00517A71"/>
    <w:rsid w:val="005206ED"/>
    <w:rsid w:val="005257EB"/>
    <w:rsid w:val="00530EB3"/>
    <w:rsid w:val="00533B39"/>
    <w:rsid w:val="0053553C"/>
    <w:rsid w:val="005462B9"/>
    <w:rsid w:val="0055024B"/>
    <w:rsid w:val="005524AD"/>
    <w:rsid w:val="00553A60"/>
    <w:rsid w:val="00560345"/>
    <w:rsid w:val="005643BB"/>
    <w:rsid w:val="0057064C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93AB9"/>
    <w:rsid w:val="005A48A7"/>
    <w:rsid w:val="005A5854"/>
    <w:rsid w:val="005A58C9"/>
    <w:rsid w:val="005A65C4"/>
    <w:rsid w:val="005A6E56"/>
    <w:rsid w:val="005B1674"/>
    <w:rsid w:val="005B6F3D"/>
    <w:rsid w:val="005B7C75"/>
    <w:rsid w:val="005C0106"/>
    <w:rsid w:val="005C1BCC"/>
    <w:rsid w:val="005C5E7C"/>
    <w:rsid w:val="005D022F"/>
    <w:rsid w:val="005D24DC"/>
    <w:rsid w:val="005D24F3"/>
    <w:rsid w:val="005D2DDC"/>
    <w:rsid w:val="005D7A7F"/>
    <w:rsid w:val="005E14E6"/>
    <w:rsid w:val="005E151E"/>
    <w:rsid w:val="005E2323"/>
    <w:rsid w:val="005E5988"/>
    <w:rsid w:val="005E75BF"/>
    <w:rsid w:val="005F0196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B8A"/>
    <w:rsid w:val="00635BBD"/>
    <w:rsid w:val="0063601C"/>
    <w:rsid w:val="006360E0"/>
    <w:rsid w:val="00637B92"/>
    <w:rsid w:val="00640450"/>
    <w:rsid w:val="00640AA7"/>
    <w:rsid w:val="006449B3"/>
    <w:rsid w:val="00652167"/>
    <w:rsid w:val="00664407"/>
    <w:rsid w:val="0066523F"/>
    <w:rsid w:val="00666177"/>
    <w:rsid w:val="00670081"/>
    <w:rsid w:val="00670134"/>
    <w:rsid w:val="00672442"/>
    <w:rsid w:val="006728E6"/>
    <w:rsid w:val="00682AF4"/>
    <w:rsid w:val="006838FD"/>
    <w:rsid w:val="006849A3"/>
    <w:rsid w:val="00686D75"/>
    <w:rsid w:val="006956C5"/>
    <w:rsid w:val="00697038"/>
    <w:rsid w:val="00697AE4"/>
    <w:rsid w:val="006A0705"/>
    <w:rsid w:val="006A4181"/>
    <w:rsid w:val="006A588C"/>
    <w:rsid w:val="006A63B3"/>
    <w:rsid w:val="006A758F"/>
    <w:rsid w:val="006B0425"/>
    <w:rsid w:val="006B510B"/>
    <w:rsid w:val="006B7F1D"/>
    <w:rsid w:val="006C1378"/>
    <w:rsid w:val="006C34C7"/>
    <w:rsid w:val="006C5998"/>
    <w:rsid w:val="006D28E2"/>
    <w:rsid w:val="006D32A9"/>
    <w:rsid w:val="006D445F"/>
    <w:rsid w:val="006D5097"/>
    <w:rsid w:val="006D6261"/>
    <w:rsid w:val="006D693E"/>
    <w:rsid w:val="006E06FD"/>
    <w:rsid w:val="006E2157"/>
    <w:rsid w:val="006E2167"/>
    <w:rsid w:val="006E502D"/>
    <w:rsid w:val="006E5992"/>
    <w:rsid w:val="006F1736"/>
    <w:rsid w:val="006F1A99"/>
    <w:rsid w:val="006F21A1"/>
    <w:rsid w:val="006F2E56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0EA6"/>
    <w:rsid w:val="00723163"/>
    <w:rsid w:val="00723B3B"/>
    <w:rsid w:val="00724A8C"/>
    <w:rsid w:val="007265BE"/>
    <w:rsid w:val="00727685"/>
    <w:rsid w:val="00730E78"/>
    <w:rsid w:val="007318ED"/>
    <w:rsid w:val="00731EC5"/>
    <w:rsid w:val="007338EE"/>
    <w:rsid w:val="00734032"/>
    <w:rsid w:val="00734F80"/>
    <w:rsid w:val="00740D7C"/>
    <w:rsid w:val="00741001"/>
    <w:rsid w:val="007424F5"/>
    <w:rsid w:val="007438F6"/>
    <w:rsid w:val="00743B44"/>
    <w:rsid w:val="007456E5"/>
    <w:rsid w:val="00745D46"/>
    <w:rsid w:val="00746666"/>
    <w:rsid w:val="00746A81"/>
    <w:rsid w:val="0075152E"/>
    <w:rsid w:val="00751FB3"/>
    <w:rsid w:val="00754115"/>
    <w:rsid w:val="00756906"/>
    <w:rsid w:val="00756A21"/>
    <w:rsid w:val="00757E95"/>
    <w:rsid w:val="00760F7C"/>
    <w:rsid w:val="007628F2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C02"/>
    <w:rsid w:val="00792A44"/>
    <w:rsid w:val="00792B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12B6"/>
    <w:rsid w:val="007B2F97"/>
    <w:rsid w:val="007B6698"/>
    <w:rsid w:val="007B7751"/>
    <w:rsid w:val="007C0B10"/>
    <w:rsid w:val="007C274A"/>
    <w:rsid w:val="007C51E2"/>
    <w:rsid w:val="007C781E"/>
    <w:rsid w:val="007D0AE4"/>
    <w:rsid w:val="007D50BE"/>
    <w:rsid w:val="007E0284"/>
    <w:rsid w:val="007E1163"/>
    <w:rsid w:val="007E354A"/>
    <w:rsid w:val="007E3A07"/>
    <w:rsid w:val="007E6A4B"/>
    <w:rsid w:val="007E7760"/>
    <w:rsid w:val="007F6AAD"/>
    <w:rsid w:val="00803152"/>
    <w:rsid w:val="00803349"/>
    <w:rsid w:val="00804866"/>
    <w:rsid w:val="00806308"/>
    <w:rsid w:val="008063F9"/>
    <w:rsid w:val="00806FBC"/>
    <w:rsid w:val="0080739D"/>
    <w:rsid w:val="0080795A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58BD"/>
    <w:rsid w:val="0082631F"/>
    <w:rsid w:val="008276BF"/>
    <w:rsid w:val="0083482D"/>
    <w:rsid w:val="00834E88"/>
    <w:rsid w:val="00835412"/>
    <w:rsid w:val="008359DC"/>
    <w:rsid w:val="00836959"/>
    <w:rsid w:val="008378CC"/>
    <w:rsid w:val="008379B3"/>
    <w:rsid w:val="00842D31"/>
    <w:rsid w:val="008520D0"/>
    <w:rsid w:val="00852185"/>
    <w:rsid w:val="00855AE4"/>
    <w:rsid w:val="00862DEA"/>
    <w:rsid w:val="0086743F"/>
    <w:rsid w:val="008708C5"/>
    <w:rsid w:val="00870EFF"/>
    <w:rsid w:val="00871EF0"/>
    <w:rsid w:val="008724DA"/>
    <w:rsid w:val="00873870"/>
    <w:rsid w:val="0087516A"/>
    <w:rsid w:val="008751A4"/>
    <w:rsid w:val="00875908"/>
    <w:rsid w:val="00875967"/>
    <w:rsid w:val="00876287"/>
    <w:rsid w:val="00876473"/>
    <w:rsid w:val="00877034"/>
    <w:rsid w:val="0087793D"/>
    <w:rsid w:val="00877C88"/>
    <w:rsid w:val="008826CD"/>
    <w:rsid w:val="0088284B"/>
    <w:rsid w:val="0088458B"/>
    <w:rsid w:val="0088494C"/>
    <w:rsid w:val="00884C2B"/>
    <w:rsid w:val="00887553"/>
    <w:rsid w:val="008943E1"/>
    <w:rsid w:val="00895A0E"/>
    <w:rsid w:val="0089738F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7A2A"/>
    <w:rsid w:val="008F31E4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3B3C"/>
    <w:rsid w:val="009341D6"/>
    <w:rsid w:val="009343DE"/>
    <w:rsid w:val="00935307"/>
    <w:rsid w:val="00935AC8"/>
    <w:rsid w:val="0094259F"/>
    <w:rsid w:val="009478D1"/>
    <w:rsid w:val="00951ACF"/>
    <w:rsid w:val="009560B3"/>
    <w:rsid w:val="00962692"/>
    <w:rsid w:val="00965336"/>
    <w:rsid w:val="009677B4"/>
    <w:rsid w:val="00970F8A"/>
    <w:rsid w:val="00985BD2"/>
    <w:rsid w:val="009878FE"/>
    <w:rsid w:val="0099075E"/>
    <w:rsid w:val="00992F50"/>
    <w:rsid w:val="00993AEA"/>
    <w:rsid w:val="00994A2E"/>
    <w:rsid w:val="00994EED"/>
    <w:rsid w:val="009A0241"/>
    <w:rsid w:val="009A158C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39E"/>
    <w:rsid w:val="009C1DA9"/>
    <w:rsid w:val="009C3F03"/>
    <w:rsid w:val="009C5470"/>
    <w:rsid w:val="009C6DAA"/>
    <w:rsid w:val="009C7F83"/>
    <w:rsid w:val="009D3875"/>
    <w:rsid w:val="009D4811"/>
    <w:rsid w:val="009D49D0"/>
    <w:rsid w:val="009D620C"/>
    <w:rsid w:val="009E3AA0"/>
    <w:rsid w:val="009E3F4F"/>
    <w:rsid w:val="009F0A6B"/>
    <w:rsid w:val="009F7A52"/>
    <w:rsid w:val="00A0145C"/>
    <w:rsid w:val="00A0336A"/>
    <w:rsid w:val="00A03A7C"/>
    <w:rsid w:val="00A06B01"/>
    <w:rsid w:val="00A11438"/>
    <w:rsid w:val="00A141DF"/>
    <w:rsid w:val="00A1648D"/>
    <w:rsid w:val="00A16767"/>
    <w:rsid w:val="00A2428B"/>
    <w:rsid w:val="00A245D8"/>
    <w:rsid w:val="00A34BA4"/>
    <w:rsid w:val="00A370D2"/>
    <w:rsid w:val="00A42C15"/>
    <w:rsid w:val="00A43259"/>
    <w:rsid w:val="00A433BC"/>
    <w:rsid w:val="00A44D6D"/>
    <w:rsid w:val="00A51DAF"/>
    <w:rsid w:val="00A533D3"/>
    <w:rsid w:val="00A55121"/>
    <w:rsid w:val="00A65392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97D17"/>
    <w:rsid w:val="00AA1686"/>
    <w:rsid w:val="00AA4093"/>
    <w:rsid w:val="00AA628A"/>
    <w:rsid w:val="00AB1D36"/>
    <w:rsid w:val="00AB5D29"/>
    <w:rsid w:val="00AB72E7"/>
    <w:rsid w:val="00AB7697"/>
    <w:rsid w:val="00AC14F3"/>
    <w:rsid w:val="00AC320B"/>
    <w:rsid w:val="00AC405E"/>
    <w:rsid w:val="00AD030C"/>
    <w:rsid w:val="00AD13E6"/>
    <w:rsid w:val="00AD25C9"/>
    <w:rsid w:val="00AD299E"/>
    <w:rsid w:val="00AD4031"/>
    <w:rsid w:val="00AE1E7F"/>
    <w:rsid w:val="00AE2730"/>
    <w:rsid w:val="00AF0E79"/>
    <w:rsid w:val="00AF140D"/>
    <w:rsid w:val="00AF4225"/>
    <w:rsid w:val="00AF468C"/>
    <w:rsid w:val="00AF597A"/>
    <w:rsid w:val="00AF62C8"/>
    <w:rsid w:val="00B023FE"/>
    <w:rsid w:val="00B04601"/>
    <w:rsid w:val="00B063AD"/>
    <w:rsid w:val="00B133E5"/>
    <w:rsid w:val="00B16DAA"/>
    <w:rsid w:val="00B17378"/>
    <w:rsid w:val="00B17975"/>
    <w:rsid w:val="00B17AEA"/>
    <w:rsid w:val="00B202B4"/>
    <w:rsid w:val="00B223FB"/>
    <w:rsid w:val="00B23D0E"/>
    <w:rsid w:val="00B2520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525CD"/>
    <w:rsid w:val="00B52D71"/>
    <w:rsid w:val="00B542C2"/>
    <w:rsid w:val="00B55BD9"/>
    <w:rsid w:val="00B55E89"/>
    <w:rsid w:val="00B66076"/>
    <w:rsid w:val="00B721E4"/>
    <w:rsid w:val="00B72A22"/>
    <w:rsid w:val="00B735D6"/>
    <w:rsid w:val="00B74FEA"/>
    <w:rsid w:val="00B77E6C"/>
    <w:rsid w:val="00B8075F"/>
    <w:rsid w:val="00B807AB"/>
    <w:rsid w:val="00B87366"/>
    <w:rsid w:val="00B90341"/>
    <w:rsid w:val="00B90C81"/>
    <w:rsid w:val="00B90D6E"/>
    <w:rsid w:val="00B95E0E"/>
    <w:rsid w:val="00B96481"/>
    <w:rsid w:val="00BA10AB"/>
    <w:rsid w:val="00BA1BE1"/>
    <w:rsid w:val="00BA5D63"/>
    <w:rsid w:val="00BA7627"/>
    <w:rsid w:val="00BB0F09"/>
    <w:rsid w:val="00BB1D71"/>
    <w:rsid w:val="00BB376E"/>
    <w:rsid w:val="00BB4095"/>
    <w:rsid w:val="00BB5668"/>
    <w:rsid w:val="00BB59A5"/>
    <w:rsid w:val="00BB5AC7"/>
    <w:rsid w:val="00BC3F23"/>
    <w:rsid w:val="00BC4672"/>
    <w:rsid w:val="00BC66F7"/>
    <w:rsid w:val="00BD11FA"/>
    <w:rsid w:val="00BD1489"/>
    <w:rsid w:val="00BD53E5"/>
    <w:rsid w:val="00BD6A6F"/>
    <w:rsid w:val="00BE36CB"/>
    <w:rsid w:val="00BE3B2E"/>
    <w:rsid w:val="00BE3FA2"/>
    <w:rsid w:val="00BF1D14"/>
    <w:rsid w:val="00C0717E"/>
    <w:rsid w:val="00C07C0B"/>
    <w:rsid w:val="00C23111"/>
    <w:rsid w:val="00C23766"/>
    <w:rsid w:val="00C24874"/>
    <w:rsid w:val="00C248E2"/>
    <w:rsid w:val="00C25467"/>
    <w:rsid w:val="00C379B6"/>
    <w:rsid w:val="00C41847"/>
    <w:rsid w:val="00C4286D"/>
    <w:rsid w:val="00C4373A"/>
    <w:rsid w:val="00C44647"/>
    <w:rsid w:val="00C50AF8"/>
    <w:rsid w:val="00C50D6B"/>
    <w:rsid w:val="00C517EE"/>
    <w:rsid w:val="00C51F21"/>
    <w:rsid w:val="00C53EC2"/>
    <w:rsid w:val="00C5431B"/>
    <w:rsid w:val="00C6447F"/>
    <w:rsid w:val="00C6524C"/>
    <w:rsid w:val="00C6672E"/>
    <w:rsid w:val="00C673B8"/>
    <w:rsid w:val="00C70934"/>
    <w:rsid w:val="00C81A4C"/>
    <w:rsid w:val="00C820E7"/>
    <w:rsid w:val="00C830A0"/>
    <w:rsid w:val="00C85122"/>
    <w:rsid w:val="00C86011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061D"/>
    <w:rsid w:val="00CB1D9C"/>
    <w:rsid w:val="00CB29B1"/>
    <w:rsid w:val="00CB35AE"/>
    <w:rsid w:val="00CB7E37"/>
    <w:rsid w:val="00CC20A0"/>
    <w:rsid w:val="00CC220B"/>
    <w:rsid w:val="00CC458B"/>
    <w:rsid w:val="00CC469D"/>
    <w:rsid w:val="00CC523E"/>
    <w:rsid w:val="00CC65E4"/>
    <w:rsid w:val="00CD4526"/>
    <w:rsid w:val="00CD463E"/>
    <w:rsid w:val="00CD60A2"/>
    <w:rsid w:val="00CD6AC8"/>
    <w:rsid w:val="00CD76DF"/>
    <w:rsid w:val="00CE3B6C"/>
    <w:rsid w:val="00CF0794"/>
    <w:rsid w:val="00CF2D93"/>
    <w:rsid w:val="00CF348A"/>
    <w:rsid w:val="00CF34E3"/>
    <w:rsid w:val="00CF517D"/>
    <w:rsid w:val="00CF52B4"/>
    <w:rsid w:val="00CF6FAC"/>
    <w:rsid w:val="00CF7D89"/>
    <w:rsid w:val="00D0060F"/>
    <w:rsid w:val="00D007BB"/>
    <w:rsid w:val="00D03C06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17557"/>
    <w:rsid w:val="00D20D41"/>
    <w:rsid w:val="00D23F1A"/>
    <w:rsid w:val="00D26F46"/>
    <w:rsid w:val="00D27476"/>
    <w:rsid w:val="00D32F7E"/>
    <w:rsid w:val="00D34423"/>
    <w:rsid w:val="00D35809"/>
    <w:rsid w:val="00D35CEC"/>
    <w:rsid w:val="00D42929"/>
    <w:rsid w:val="00D42F81"/>
    <w:rsid w:val="00D43867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762D2"/>
    <w:rsid w:val="00D829B0"/>
    <w:rsid w:val="00D86A17"/>
    <w:rsid w:val="00D8738C"/>
    <w:rsid w:val="00D912DB"/>
    <w:rsid w:val="00D92838"/>
    <w:rsid w:val="00D928D2"/>
    <w:rsid w:val="00D9374A"/>
    <w:rsid w:val="00D94C4A"/>
    <w:rsid w:val="00D97167"/>
    <w:rsid w:val="00DA387C"/>
    <w:rsid w:val="00DA3EEB"/>
    <w:rsid w:val="00DA4EBA"/>
    <w:rsid w:val="00DA720F"/>
    <w:rsid w:val="00DB1CF6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268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43"/>
    <w:rsid w:val="00E024FE"/>
    <w:rsid w:val="00E04E2A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10C0"/>
    <w:rsid w:val="00E53D2C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3518"/>
    <w:rsid w:val="00E84B4C"/>
    <w:rsid w:val="00E87B5F"/>
    <w:rsid w:val="00E93A4C"/>
    <w:rsid w:val="00E95598"/>
    <w:rsid w:val="00E96F2A"/>
    <w:rsid w:val="00E97DBC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E2DFE"/>
    <w:rsid w:val="00EE4A0A"/>
    <w:rsid w:val="00EE67B8"/>
    <w:rsid w:val="00EE6D43"/>
    <w:rsid w:val="00EF5B52"/>
    <w:rsid w:val="00F0524C"/>
    <w:rsid w:val="00F05C36"/>
    <w:rsid w:val="00F0658E"/>
    <w:rsid w:val="00F10277"/>
    <w:rsid w:val="00F10969"/>
    <w:rsid w:val="00F10A51"/>
    <w:rsid w:val="00F121A0"/>
    <w:rsid w:val="00F13A0A"/>
    <w:rsid w:val="00F1705F"/>
    <w:rsid w:val="00F20B32"/>
    <w:rsid w:val="00F219D3"/>
    <w:rsid w:val="00F229CA"/>
    <w:rsid w:val="00F22F6A"/>
    <w:rsid w:val="00F2446A"/>
    <w:rsid w:val="00F2637E"/>
    <w:rsid w:val="00F27E7C"/>
    <w:rsid w:val="00F322CB"/>
    <w:rsid w:val="00F37E95"/>
    <w:rsid w:val="00F43BA6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1CDF"/>
    <w:rsid w:val="00F742D8"/>
    <w:rsid w:val="00F749AA"/>
    <w:rsid w:val="00F75B66"/>
    <w:rsid w:val="00F76921"/>
    <w:rsid w:val="00F81C64"/>
    <w:rsid w:val="00F822BB"/>
    <w:rsid w:val="00F84AB7"/>
    <w:rsid w:val="00F87BCE"/>
    <w:rsid w:val="00F9098E"/>
    <w:rsid w:val="00F91196"/>
    <w:rsid w:val="00F93B3B"/>
    <w:rsid w:val="00F93C41"/>
    <w:rsid w:val="00FA086C"/>
    <w:rsid w:val="00FA7338"/>
    <w:rsid w:val="00FB226C"/>
    <w:rsid w:val="00FB5865"/>
    <w:rsid w:val="00FB58B5"/>
    <w:rsid w:val="00FB6755"/>
    <w:rsid w:val="00FB7556"/>
    <w:rsid w:val="00FC19A2"/>
    <w:rsid w:val="00FC1A21"/>
    <w:rsid w:val="00FC1F3E"/>
    <w:rsid w:val="00FC5184"/>
    <w:rsid w:val="00FD1F73"/>
    <w:rsid w:val="00FD2D68"/>
    <w:rsid w:val="00FD300D"/>
    <w:rsid w:val="00FD3D5E"/>
    <w:rsid w:val="00FE30A8"/>
    <w:rsid w:val="00FE4150"/>
    <w:rsid w:val="00FF4799"/>
    <w:rsid w:val="00FF6921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3B2E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BE3B2E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BE3B2E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BE3B2E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link w:val="HeaderChar"/>
    <w:rsid w:val="00BE3B2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BE3B2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E3B2E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BE3B2E"/>
  </w:style>
  <w:style w:type="paragraph" w:styleId="HTMLPreformatted">
    <w:name w:val="HTML Preformatted"/>
    <w:basedOn w:val="Normal"/>
    <w:link w:val="HTMLPreformattedChar"/>
    <w:rsid w:val="00BE3B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BE3B2E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uiPriority w:val="39"/>
    <w:rsid w:val="00CD6AC8"/>
  </w:style>
  <w:style w:type="character" w:styleId="Hyperlink">
    <w:name w:val="Hyperlink"/>
    <w:basedOn w:val="DefaultParagraphFont"/>
    <w:uiPriority w:val="99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uiPriority w:val="39"/>
    <w:rsid w:val="00D106DA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D106DA"/>
    <w:pPr>
      <w:ind w:left="400"/>
    </w:pPr>
  </w:style>
  <w:style w:type="paragraph" w:customStyle="1" w:styleId="StyleCM112ptBoldBlack">
    <w:name w:val="Style CM1 + 12 pt Bold Black"/>
    <w:basedOn w:val="CM1"/>
    <w:link w:val="StyleCM112ptBoldBlackChar"/>
    <w:rsid w:val="009E3AA0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9E3AA0"/>
    <w:rPr>
      <w:b/>
      <w:bCs/>
    </w:rPr>
  </w:style>
  <w:style w:type="paragraph" w:styleId="BodyText">
    <w:name w:val="Body Text"/>
    <w:basedOn w:val="Normal"/>
    <w:rsid w:val="009E3AA0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TOC4">
    <w:name w:val="toc 4"/>
    <w:basedOn w:val="Normal"/>
    <w:next w:val="Normal"/>
    <w:autoRedefine/>
    <w:semiHidden/>
    <w:rsid w:val="009E3AA0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9E3AA0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9E3AA0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9E3AA0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9E3AA0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9E3AA0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1">
    <w:name w:val="Figure1"/>
    <w:basedOn w:val="Normal"/>
    <w:rsid w:val="009E3AA0"/>
    <w:pPr>
      <w:spacing w:after="120"/>
      <w:jc w:val="center"/>
    </w:pPr>
  </w:style>
  <w:style w:type="paragraph" w:customStyle="1" w:styleId="Equation1">
    <w:name w:val="Equation1"/>
    <w:basedOn w:val="Normal"/>
    <w:rsid w:val="009E3AA0"/>
    <w:pPr>
      <w:ind w:left="567"/>
    </w:pPr>
  </w:style>
  <w:style w:type="paragraph" w:styleId="FootnoteText">
    <w:name w:val="footnote text"/>
    <w:basedOn w:val="Normal"/>
    <w:link w:val="FootnoteTextChar"/>
    <w:unhideWhenUsed/>
    <w:rsid w:val="009E3AA0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9E3AA0"/>
    <w:rPr>
      <w:rFonts w:ascii="Calibri" w:eastAsia="Calibri" w:hAnsi="Calibri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9E3AA0"/>
    <w:pPr>
      <w:spacing w:before="0"/>
    </w:pPr>
    <w:rPr>
      <w:rFonts w:ascii="Tahoma" w:eastAsia="Calibri" w:hAnsi="Tahoma" w:cs="Tahoma"/>
      <w:color w:val="auto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uiPriority w:val="99"/>
    <w:rsid w:val="009E3AA0"/>
    <w:rPr>
      <w:rFonts w:ascii="Tahoma" w:eastAsia="Calibri" w:hAnsi="Tahoma" w:cs="Tahoma"/>
      <w:sz w:val="16"/>
      <w:szCs w:val="16"/>
      <w:lang w:val="sr-Latn-CS" w:eastAsia="en-US" w:bidi="ar-SA"/>
    </w:rPr>
  </w:style>
  <w:style w:type="paragraph" w:customStyle="1" w:styleId="Style1">
    <w:name w:val="Style1"/>
    <w:basedOn w:val="Normal"/>
    <w:link w:val="Style1Char"/>
    <w:qFormat/>
    <w:rsid w:val="009E3AA0"/>
    <w:pPr>
      <w:spacing w:before="0" w:after="200" w:line="276" w:lineRule="auto"/>
    </w:pPr>
    <w:rPr>
      <w:rFonts w:ascii="Times New Roman" w:eastAsia="Calibri" w:hAnsi="Times New Roman"/>
      <w:color w:val="auto"/>
      <w:sz w:val="24"/>
      <w:szCs w:val="24"/>
      <w:lang w:val="sr-Latn-CS"/>
    </w:rPr>
  </w:style>
  <w:style w:type="character" w:customStyle="1" w:styleId="Style1Char">
    <w:name w:val="Style1 Char"/>
    <w:basedOn w:val="DefaultParagraphFont"/>
    <w:link w:val="Style1"/>
    <w:rsid w:val="009E3AA0"/>
    <w:rPr>
      <w:rFonts w:eastAsia="Calibri"/>
      <w:sz w:val="24"/>
      <w:szCs w:val="24"/>
      <w:lang w:val="sr-Latn-CS" w:eastAsia="en-US" w:bidi="ar-SA"/>
    </w:rPr>
  </w:style>
  <w:style w:type="paragraph" w:customStyle="1" w:styleId="StyleEquation1Before0pt">
    <w:name w:val="Style Equation1 + Before:  0 pt"/>
    <w:basedOn w:val="Equation1"/>
    <w:autoRedefine/>
    <w:rsid w:val="009E3AA0"/>
  </w:style>
  <w:style w:type="character" w:customStyle="1" w:styleId="CharChar2">
    <w:name w:val="Char Char2"/>
    <w:basedOn w:val="DefaultParagraphFont"/>
    <w:rsid w:val="00D8738C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paragraph" w:customStyle="1" w:styleId="CM2">
    <w:name w:val="CM2"/>
    <w:basedOn w:val="Default"/>
    <w:next w:val="Default"/>
    <w:rsid w:val="00D8738C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D8738C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D8738C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D8738C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D8738C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D8738C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D8738C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D8738C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D8738C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D8738C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D8738C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D8738C"/>
    <w:rPr>
      <w:szCs w:val="20"/>
    </w:rPr>
  </w:style>
  <w:style w:type="paragraph" w:customStyle="1" w:styleId="StyleDefaultBold">
    <w:name w:val="Style Default + Bold"/>
    <w:basedOn w:val="Default"/>
    <w:rsid w:val="00D8738C"/>
    <w:rPr>
      <w:bCs/>
    </w:rPr>
  </w:style>
  <w:style w:type="paragraph" w:customStyle="1" w:styleId="StyleDefaultBoldBefore6pt">
    <w:name w:val="Style Default + Bold Before:  6 pt"/>
    <w:basedOn w:val="Default"/>
    <w:rsid w:val="00D8738C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D8738C"/>
    <w:rPr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D8738C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D8738C"/>
  </w:style>
  <w:style w:type="character" w:customStyle="1" w:styleId="figuremediaobject">
    <w:name w:val="figuremediaobject"/>
    <w:basedOn w:val="DefaultParagraphFont"/>
    <w:rsid w:val="00D8738C"/>
  </w:style>
  <w:style w:type="character" w:customStyle="1" w:styleId="figure-title">
    <w:name w:val="figure-title"/>
    <w:basedOn w:val="DefaultParagraphFont"/>
    <w:rsid w:val="00D8738C"/>
  </w:style>
  <w:style w:type="character" w:customStyle="1" w:styleId="figure-titlelabel">
    <w:name w:val="figure-titlelabel"/>
    <w:basedOn w:val="DefaultParagraphFont"/>
    <w:rsid w:val="00D8738C"/>
  </w:style>
  <w:style w:type="character" w:customStyle="1" w:styleId="example-title">
    <w:name w:val="example-title"/>
    <w:basedOn w:val="DefaultParagraphFont"/>
    <w:rsid w:val="00D8738C"/>
  </w:style>
  <w:style w:type="character" w:customStyle="1" w:styleId="example-titlelabel">
    <w:name w:val="example-titlelabel"/>
    <w:basedOn w:val="DefaultParagraphFont"/>
    <w:rsid w:val="00D8738C"/>
  </w:style>
  <w:style w:type="paragraph" w:customStyle="1" w:styleId="last-para">
    <w:name w:val="last-par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Indent">
    <w:name w:val="Body Text Indent"/>
    <w:basedOn w:val="Normal"/>
    <w:rsid w:val="00D8738C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D8738C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D8738C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D8738C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D8738C"/>
  </w:style>
  <w:style w:type="character" w:customStyle="1" w:styleId="table-titlelabel">
    <w:name w:val="table-titlelabel"/>
    <w:basedOn w:val="DefaultParagraphFont"/>
    <w:rsid w:val="00D8738C"/>
  </w:style>
  <w:style w:type="paragraph" w:customStyle="1" w:styleId="para1">
    <w:name w:val="para1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D8738C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D8738C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D8738C"/>
    <w:pPr>
      <w:spacing w:after="120"/>
      <w:jc w:val="center"/>
    </w:pPr>
    <w:rPr>
      <w:rFonts w:cs="Arial"/>
      <w:lang w:val="en-US"/>
    </w:rPr>
  </w:style>
  <w:style w:type="character" w:customStyle="1" w:styleId="emphb">
    <w:name w:val="emph_b"/>
    <w:basedOn w:val="DefaultParagraphFont"/>
    <w:rsid w:val="00D8738C"/>
  </w:style>
  <w:style w:type="character" w:customStyle="1" w:styleId="lk">
    <w:name w:val="lk"/>
    <w:basedOn w:val="DefaultParagraphFont"/>
    <w:rsid w:val="00D8738C"/>
  </w:style>
  <w:style w:type="character" w:customStyle="1" w:styleId="emphi">
    <w:name w:val="emph_i"/>
    <w:basedOn w:val="DefaultParagraphFont"/>
    <w:rsid w:val="00D8738C"/>
  </w:style>
  <w:style w:type="character" w:customStyle="1" w:styleId="printheaderlabel1">
    <w:name w:val="printheader_label1"/>
    <w:basedOn w:val="DefaultParagraphFont"/>
    <w:rsid w:val="00D8738C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D8738C"/>
    <w:rPr>
      <w:i w:val="0"/>
      <w:iCs w:val="0"/>
    </w:rPr>
  </w:style>
  <w:style w:type="character" w:customStyle="1" w:styleId="emphb1">
    <w:name w:val="emph_b1"/>
    <w:basedOn w:val="DefaultParagraphFont"/>
    <w:rsid w:val="00D8738C"/>
    <w:rPr>
      <w:b/>
      <w:bCs/>
    </w:rPr>
  </w:style>
  <w:style w:type="character" w:customStyle="1" w:styleId="emphi1">
    <w:name w:val="emph_i1"/>
    <w:basedOn w:val="DefaultParagraphFont"/>
    <w:rsid w:val="00D8738C"/>
    <w:rPr>
      <w:i/>
      <w:iCs/>
    </w:rPr>
  </w:style>
  <w:style w:type="character" w:styleId="FollowedHyperlink">
    <w:name w:val="FollowedHyperlink"/>
    <w:basedOn w:val="DefaultParagraphFont"/>
    <w:rsid w:val="00D8738C"/>
    <w:rPr>
      <w:color w:val="0768A9"/>
      <w:u w:val="single"/>
    </w:rPr>
  </w:style>
  <w:style w:type="paragraph" w:customStyle="1" w:styleId="standard-button">
    <w:name w:val="standard-button"/>
    <w:basedOn w:val="Normal"/>
    <w:rsid w:val="00D8738C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D8738C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D8738C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D8738C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D8738C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D8738C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D8738C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D8738C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D8738C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D8738C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D8738C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D8738C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D8738C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D8738C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D8738C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cr">
    <w:name w:val="listtype_lc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D8738C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D8738C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D8738C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D8738C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D8738C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D8738C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D8738C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D8738C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D8738C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D8738C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D8738C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D8738C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D8738C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D8738C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D8738C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D8738C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D8738C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D8738C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D8738C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D8738C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D8738C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D8738C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D8738C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D8738C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D8738C"/>
  </w:style>
  <w:style w:type="paragraph" w:customStyle="1" w:styleId="hd">
    <w:name w:val="hd"/>
    <w:basedOn w:val="Normal"/>
    <w:rsid w:val="00D8738C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D8738C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1CharChar">
    <w:name w:val="Style1 Char Char"/>
    <w:basedOn w:val="DefaultParagraphFont"/>
    <w:rsid w:val="00D8738C"/>
    <w:rPr>
      <w:rFonts w:ascii="Arial" w:eastAsia="Calibri" w:hAnsi="Arial"/>
      <w:color w:val="000000"/>
      <w:sz w:val="24"/>
      <w:szCs w:val="24"/>
      <w:lang w:val="sr-Latn-CS" w:eastAsia="en-US" w:bidi="ar-SA"/>
    </w:rPr>
  </w:style>
  <w:style w:type="character" w:customStyle="1" w:styleId="FooterChar">
    <w:name w:val="Footer Char"/>
    <w:basedOn w:val="DefaultParagraphFont"/>
    <w:link w:val="Footer"/>
    <w:rsid w:val="00492376"/>
    <w:rPr>
      <w:rFonts w:ascii="Arial" w:hAnsi="Arial"/>
      <w:color w:val="000000"/>
      <w:lang w:val="en-GB"/>
    </w:rPr>
  </w:style>
  <w:style w:type="character" w:customStyle="1" w:styleId="HeaderChar">
    <w:name w:val="Header Char"/>
    <w:basedOn w:val="DefaultParagraphFont"/>
    <w:link w:val="Header"/>
    <w:rsid w:val="00AF0E79"/>
    <w:rPr>
      <w:rFonts w:ascii="Arial" w:hAnsi="Arial"/>
      <w:color w:val="00000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header" Target="header1.xml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image" Target="media/image9.jpeg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8</TotalTime>
  <Pages>12</Pages>
  <Words>3318</Words>
  <Characters>18919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>Grizli777</Company>
  <LinksUpToDate>false</LinksUpToDate>
  <CharactersWithSpaces>22193</CharactersWithSpaces>
  <SharedDoc>false</SharedDoc>
  <HLinks>
    <vt:vector size="60" baseType="variant">
      <vt:variant>
        <vt:i4>1114174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_Toc337988241</vt:lpwstr>
      </vt:variant>
      <vt:variant>
        <vt:i4>1114174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_Toc337988240</vt:lpwstr>
      </vt:variant>
      <vt:variant>
        <vt:i4>1441854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_Toc337988239</vt:lpwstr>
      </vt:variant>
      <vt:variant>
        <vt:i4>1441854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_Toc337988238</vt:lpwstr>
      </vt:variant>
      <vt:variant>
        <vt:i4>1441854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_Toc337988237</vt:lpwstr>
      </vt:variant>
      <vt:variant>
        <vt:i4>1441854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_Toc337988236</vt:lpwstr>
      </vt:variant>
      <vt:variant>
        <vt:i4>1441854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_Toc337988235</vt:lpwstr>
      </vt:variant>
      <vt:variant>
        <vt:i4>1441854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_Toc337988234</vt:lpwstr>
      </vt:variant>
      <vt:variant>
        <vt:i4>1441854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_Toc337988233</vt:lpwstr>
      </vt:variant>
      <vt:variant>
        <vt:i4>1441854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_Toc337988232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10</cp:revision>
  <cp:lastPrinted>1601-01-01T00:00:00Z</cp:lastPrinted>
  <dcterms:created xsi:type="dcterms:W3CDTF">2018-11-04T18:37:00Z</dcterms:created>
  <dcterms:modified xsi:type="dcterms:W3CDTF">2018-11-05T16:40:00Z</dcterms:modified>
</cp:coreProperties>
</file>